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E9E2" w14:textId="59B3CC6B" w:rsidR="0054578A" w:rsidRPr="00D00CDC" w:rsidRDefault="00D85032" w:rsidP="002D54AA">
      <w:pPr>
        <w:jc w:val="center"/>
        <w:rPr>
          <w:rFonts w:ascii="Arial" w:hAnsi="Arial" w:cs="Arial"/>
          <w:b/>
          <w:lang w:val="en-GB"/>
        </w:rPr>
      </w:pPr>
      <w:r>
        <w:rPr>
          <w:rFonts w:ascii="Arial" w:hAnsi="Arial" w:cs="Arial"/>
          <w:b/>
          <w:lang w:val="en-GB"/>
        </w:rPr>
        <w:t>EX</w:t>
      </w:r>
      <w:r w:rsidR="004B1C0E" w:rsidRPr="00D00CDC">
        <w:rPr>
          <w:rFonts w:ascii="Arial" w:hAnsi="Arial" w:cs="Arial"/>
          <w:b/>
          <w:lang w:val="en-GB"/>
        </w:rPr>
        <w:t xml:space="preserve">TERNAL </w:t>
      </w:r>
      <w:r w:rsidR="002D54AA" w:rsidRPr="00D00CDC">
        <w:rPr>
          <w:rFonts w:ascii="Arial" w:hAnsi="Arial" w:cs="Arial"/>
          <w:b/>
          <w:lang w:val="en-GB"/>
        </w:rPr>
        <w:t>ADVERTISEMENT</w:t>
      </w:r>
    </w:p>
    <w:p w14:paraId="2948D42C" w14:textId="77777777" w:rsidR="002D54AA" w:rsidRPr="00D00CDC" w:rsidRDefault="002D54AA" w:rsidP="002D54AA">
      <w:pPr>
        <w:jc w:val="center"/>
        <w:rPr>
          <w:rFonts w:ascii="Arial" w:hAnsi="Arial" w:cs="Arial"/>
          <w:lang w:val="en-GB"/>
        </w:rPr>
      </w:pPr>
    </w:p>
    <w:tbl>
      <w:tblPr>
        <w:tblStyle w:val="TableGrid"/>
        <w:tblW w:w="9067" w:type="dxa"/>
        <w:tblLook w:val="04A0" w:firstRow="1" w:lastRow="0" w:firstColumn="1" w:lastColumn="0" w:noHBand="0" w:noVBand="1"/>
      </w:tblPr>
      <w:tblGrid>
        <w:gridCol w:w="3823"/>
        <w:gridCol w:w="5244"/>
      </w:tblGrid>
      <w:tr w:rsidR="002D54AA" w:rsidRPr="00D00CDC" w14:paraId="6ADAFEBE" w14:textId="77777777" w:rsidTr="002C5EEF">
        <w:tc>
          <w:tcPr>
            <w:tcW w:w="3823" w:type="dxa"/>
          </w:tcPr>
          <w:p w14:paraId="217ABD92" w14:textId="6A06F8ED" w:rsidR="002D54AA" w:rsidRPr="00D00CDC" w:rsidRDefault="00D00CDC" w:rsidP="000F58B8">
            <w:pPr>
              <w:rPr>
                <w:rFonts w:ascii="Arial" w:hAnsi="Arial" w:cs="Arial"/>
                <w:b/>
                <w:bCs/>
                <w:sz w:val="22"/>
                <w:szCs w:val="22"/>
                <w:lang w:val="en-GB"/>
              </w:rPr>
            </w:pPr>
            <w:r w:rsidRPr="00D00CDC">
              <w:rPr>
                <w:rFonts w:ascii="Arial" w:hAnsi="Arial" w:cs="Arial"/>
                <w:b/>
                <w:bCs/>
                <w:sz w:val="22"/>
                <w:szCs w:val="22"/>
                <w:lang w:val="en-GB"/>
              </w:rPr>
              <w:t>Position</w:t>
            </w:r>
          </w:p>
        </w:tc>
        <w:tc>
          <w:tcPr>
            <w:tcW w:w="5244" w:type="dxa"/>
            <w:tcBorders>
              <w:bottom w:val="single" w:sz="4" w:space="0" w:color="auto"/>
            </w:tcBorders>
          </w:tcPr>
          <w:p w14:paraId="065E4DCA" w14:textId="253F4163" w:rsidR="002D54AA" w:rsidRPr="00D00CDC" w:rsidRDefault="00267B01" w:rsidP="00E53B86">
            <w:pPr>
              <w:rPr>
                <w:rFonts w:ascii="Arial" w:hAnsi="Arial" w:cs="Arial"/>
                <w:sz w:val="22"/>
                <w:szCs w:val="22"/>
                <w:lang w:val="en-GB"/>
              </w:rPr>
            </w:pPr>
            <w:r w:rsidRPr="00D00CDC">
              <w:rPr>
                <w:rFonts w:ascii="Arial" w:hAnsi="Arial" w:cs="Arial"/>
                <w:b/>
                <w:sz w:val="22"/>
                <w:szCs w:val="22"/>
                <w:lang w:val="en-GB"/>
              </w:rPr>
              <w:t>Manager: Finance</w:t>
            </w:r>
            <w:r w:rsidR="0054110E" w:rsidRPr="00D00CDC">
              <w:rPr>
                <w:rFonts w:ascii="Arial" w:hAnsi="Arial" w:cs="Arial"/>
                <w:b/>
                <w:sz w:val="22"/>
                <w:szCs w:val="22"/>
                <w:lang w:val="en-GB"/>
              </w:rPr>
              <w:t xml:space="preserve"> </w:t>
            </w:r>
          </w:p>
        </w:tc>
      </w:tr>
      <w:tr w:rsidR="00D00CDC" w:rsidRPr="00D00CDC" w14:paraId="2ECADCD2" w14:textId="77777777" w:rsidTr="002C5EEF">
        <w:tc>
          <w:tcPr>
            <w:tcW w:w="3823" w:type="dxa"/>
          </w:tcPr>
          <w:p w14:paraId="3CEB8207" w14:textId="09853345" w:rsidR="00D00CDC" w:rsidRPr="00D00CDC" w:rsidRDefault="00D00CDC" w:rsidP="000F58B8">
            <w:pPr>
              <w:rPr>
                <w:rFonts w:ascii="Arial" w:hAnsi="Arial" w:cs="Arial"/>
                <w:b/>
                <w:bCs/>
                <w:sz w:val="22"/>
                <w:szCs w:val="22"/>
                <w:lang w:val="en-GB"/>
              </w:rPr>
            </w:pPr>
            <w:r w:rsidRPr="00D00CDC">
              <w:rPr>
                <w:rFonts w:ascii="Arial" w:hAnsi="Arial" w:cs="Arial"/>
                <w:b/>
                <w:bCs/>
                <w:sz w:val="22"/>
                <w:szCs w:val="22"/>
                <w:lang w:val="en-GB"/>
              </w:rPr>
              <w:t>Division</w:t>
            </w:r>
          </w:p>
        </w:tc>
        <w:tc>
          <w:tcPr>
            <w:tcW w:w="5244" w:type="dxa"/>
            <w:tcBorders>
              <w:bottom w:val="single" w:sz="4" w:space="0" w:color="auto"/>
            </w:tcBorders>
          </w:tcPr>
          <w:p w14:paraId="31E8106C" w14:textId="65D404E2" w:rsidR="00D00CDC" w:rsidRPr="00D00CDC" w:rsidRDefault="00D00CDC" w:rsidP="00E53B86">
            <w:pPr>
              <w:rPr>
                <w:rFonts w:ascii="Arial" w:hAnsi="Arial" w:cs="Arial"/>
                <w:b/>
                <w:sz w:val="22"/>
                <w:szCs w:val="22"/>
                <w:lang w:val="en-GB"/>
              </w:rPr>
            </w:pPr>
            <w:r w:rsidRPr="00D00CDC">
              <w:rPr>
                <w:rFonts w:ascii="Arial" w:hAnsi="Arial" w:cs="Arial"/>
                <w:b/>
                <w:sz w:val="22"/>
                <w:szCs w:val="22"/>
                <w:lang w:val="en-GB"/>
              </w:rPr>
              <w:t>AB</w:t>
            </w:r>
            <w:r w:rsidR="007E1F9D">
              <w:rPr>
                <w:rFonts w:ascii="Arial" w:hAnsi="Arial" w:cs="Arial"/>
                <w:b/>
                <w:sz w:val="22"/>
                <w:szCs w:val="22"/>
                <w:lang w:val="en-GB"/>
              </w:rPr>
              <w:t xml:space="preserve"> Logistics</w:t>
            </w:r>
          </w:p>
        </w:tc>
      </w:tr>
      <w:tr w:rsidR="002D54AA" w:rsidRPr="00D00CDC" w14:paraId="6CC76BE1" w14:textId="77777777" w:rsidTr="002C5EEF">
        <w:tc>
          <w:tcPr>
            <w:tcW w:w="3823" w:type="dxa"/>
            <w:tcBorders>
              <w:bottom w:val="single" w:sz="4" w:space="0" w:color="auto"/>
            </w:tcBorders>
          </w:tcPr>
          <w:p w14:paraId="36BF03F4" w14:textId="19C77FD5" w:rsidR="002D54AA" w:rsidRPr="00D00CDC" w:rsidRDefault="00D00CDC" w:rsidP="00AB058E">
            <w:pPr>
              <w:rPr>
                <w:rFonts w:ascii="Arial" w:hAnsi="Arial" w:cs="Arial"/>
                <w:b/>
                <w:sz w:val="22"/>
                <w:szCs w:val="22"/>
                <w:lang w:val="en-GB"/>
              </w:rPr>
            </w:pPr>
            <w:r w:rsidRPr="00D00CDC">
              <w:rPr>
                <w:rFonts w:ascii="Arial" w:hAnsi="Arial" w:cs="Arial"/>
                <w:b/>
                <w:sz w:val="22"/>
                <w:szCs w:val="22"/>
                <w:lang w:val="en-GB"/>
              </w:rPr>
              <w:t>Reference Number</w:t>
            </w:r>
          </w:p>
        </w:tc>
        <w:tc>
          <w:tcPr>
            <w:tcW w:w="5244" w:type="dxa"/>
            <w:tcBorders>
              <w:bottom w:val="single" w:sz="4" w:space="0" w:color="auto"/>
            </w:tcBorders>
          </w:tcPr>
          <w:p w14:paraId="0E83AE6E" w14:textId="601B3C95" w:rsidR="00AB058E" w:rsidRPr="00D00CDC" w:rsidRDefault="00AB058E" w:rsidP="000F58B8">
            <w:pPr>
              <w:rPr>
                <w:rFonts w:ascii="Arial" w:hAnsi="Arial" w:cs="Arial"/>
                <w:b/>
                <w:sz w:val="22"/>
                <w:szCs w:val="22"/>
                <w:lang w:val="en-GB"/>
              </w:rPr>
            </w:pPr>
            <w:r w:rsidRPr="00D00CDC">
              <w:rPr>
                <w:rFonts w:ascii="Arial" w:hAnsi="Arial" w:cs="Arial"/>
                <w:b/>
                <w:sz w:val="22"/>
                <w:szCs w:val="22"/>
                <w:lang w:val="en-GB"/>
              </w:rPr>
              <w:t>999</w:t>
            </w:r>
            <w:r w:rsidR="005A5264" w:rsidRPr="00D00CDC">
              <w:rPr>
                <w:rFonts w:ascii="Arial" w:hAnsi="Arial" w:cs="Arial"/>
                <w:b/>
                <w:sz w:val="22"/>
                <w:szCs w:val="22"/>
                <w:lang w:val="en-GB"/>
              </w:rPr>
              <w:t>35</w:t>
            </w:r>
            <w:r w:rsidR="0000614B" w:rsidRPr="00D00CDC">
              <w:rPr>
                <w:rFonts w:ascii="Arial" w:hAnsi="Arial" w:cs="Arial"/>
                <w:b/>
                <w:sz w:val="22"/>
                <w:szCs w:val="22"/>
                <w:lang w:val="en-GB"/>
              </w:rPr>
              <w:t>58</w:t>
            </w:r>
          </w:p>
        </w:tc>
      </w:tr>
      <w:tr w:rsidR="00AB058E" w:rsidRPr="00D00CDC" w14:paraId="7CAD1BCC" w14:textId="77777777" w:rsidTr="00D00CDC">
        <w:trPr>
          <w:trHeight w:val="70"/>
        </w:trPr>
        <w:tc>
          <w:tcPr>
            <w:tcW w:w="3823" w:type="dxa"/>
            <w:tcBorders>
              <w:bottom w:val="single" w:sz="4" w:space="0" w:color="auto"/>
            </w:tcBorders>
          </w:tcPr>
          <w:p w14:paraId="7DBDA950" w14:textId="61ACDB2F" w:rsidR="00AB058E" w:rsidRPr="00D00CDC" w:rsidRDefault="00D00CDC" w:rsidP="000F58B8">
            <w:pPr>
              <w:rPr>
                <w:rFonts w:ascii="Arial" w:hAnsi="Arial" w:cs="Arial"/>
                <w:b/>
                <w:sz w:val="22"/>
                <w:szCs w:val="22"/>
                <w:lang w:val="en-GB"/>
              </w:rPr>
            </w:pPr>
            <w:r w:rsidRPr="00D00CDC">
              <w:rPr>
                <w:rFonts w:ascii="Arial" w:hAnsi="Arial" w:cs="Arial"/>
                <w:b/>
                <w:sz w:val="22"/>
                <w:szCs w:val="22"/>
                <w:lang w:val="en-GB"/>
              </w:rPr>
              <w:t>Job Grade</w:t>
            </w:r>
          </w:p>
        </w:tc>
        <w:tc>
          <w:tcPr>
            <w:tcW w:w="5244" w:type="dxa"/>
            <w:tcBorders>
              <w:bottom w:val="single" w:sz="4" w:space="0" w:color="auto"/>
            </w:tcBorders>
          </w:tcPr>
          <w:p w14:paraId="7015500E" w14:textId="6C4325E5" w:rsidR="00AB058E" w:rsidRPr="00D00CDC" w:rsidRDefault="00F6646D" w:rsidP="000F58B8">
            <w:pPr>
              <w:rPr>
                <w:rFonts w:ascii="Arial" w:hAnsi="Arial" w:cs="Arial"/>
                <w:b/>
                <w:sz w:val="22"/>
                <w:szCs w:val="22"/>
                <w:lang w:val="en-GB"/>
              </w:rPr>
            </w:pPr>
            <w:r w:rsidRPr="00D00CDC">
              <w:rPr>
                <w:rFonts w:ascii="Arial" w:hAnsi="Arial" w:cs="Arial"/>
                <w:b/>
                <w:bCs/>
                <w:sz w:val="22"/>
                <w:szCs w:val="22"/>
                <w:lang w:val="en-GB"/>
              </w:rPr>
              <w:t>D</w:t>
            </w:r>
            <w:r w:rsidR="00267B01" w:rsidRPr="00D00CDC">
              <w:rPr>
                <w:rFonts w:ascii="Arial" w:hAnsi="Arial" w:cs="Arial"/>
                <w:b/>
                <w:bCs/>
                <w:sz w:val="22"/>
                <w:szCs w:val="22"/>
                <w:lang w:val="en-GB"/>
              </w:rPr>
              <w:t>4</w:t>
            </w:r>
          </w:p>
        </w:tc>
      </w:tr>
      <w:tr w:rsidR="00AB058E" w:rsidRPr="00D00CDC" w14:paraId="704FA2EC" w14:textId="77777777" w:rsidTr="002C5EEF">
        <w:tc>
          <w:tcPr>
            <w:tcW w:w="3823" w:type="dxa"/>
            <w:tcBorders>
              <w:bottom w:val="single" w:sz="4" w:space="0" w:color="auto"/>
            </w:tcBorders>
          </w:tcPr>
          <w:p w14:paraId="2A6FBF4F" w14:textId="1D4054CA" w:rsidR="00AB058E" w:rsidRPr="00D00CDC" w:rsidRDefault="00D00CDC" w:rsidP="00AB058E">
            <w:pPr>
              <w:rPr>
                <w:rFonts w:ascii="Arial" w:hAnsi="Arial" w:cs="Arial"/>
                <w:b/>
                <w:sz w:val="22"/>
                <w:szCs w:val="22"/>
                <w:lang w:val="en-GB"/>
              </w:rPr>
            </w:pPr>
            <w:r w:rsidRPr="00D00CDC">
              <w:rPr>
                <w:rFonts w:ascii="Arial" w:hAnsi="Arial" w:cs="Arial"/>
                <w:b/>
                <w:sz w:val="22"/>
                <w:szCs w:val="22"/>
                <w:lang w:val="en-GB"/>
              </w:rPr>
              <w:t>Location</w:t>
            </w:r>
          </w:p>
        </w:tc>
        <w:tc>
          <w:tcPr>
            <w:tcW w:w="5244" w:type="dxa"/>
            <w:tcBorders>
              <w:bottom w:val="single" w:sz="4" w:space="0" w:color="auto"/>
            </w:tcBorders>
          </w:tcPr>
          <w:p w14:paraId="1C0B15CA" w14:textId="2897AD36" w:rsidR="00AB058E" w:rsidRPr="00D00CDC" w:rsidRDefault="002C5EEF" w:rsidP="000F58B8">
            <w:pPr>
              <w:rPr>
                <w:rFonts w:ascii="Arial" w:hAnsi="Arial" w:cs="Arial"/>
                <w:b/>
                <w:sz w:val="22"/>
                <w:szCs w:val="22"/>
                <w:lang w:val="en-GB"/>
              </w:rPr>
            </w:pPr>
            <w:r w:rsidRPr="00D00CDC">
              <w:rPr>
                <w:rFonts w:ascii="Arial" w:hAnsi="Arial" w:cs="Arial"/>
                <w:b/>
                <w:sz w:val="22"/>
                <w:szCs w:val="22"/>
                <w:lang w:val="en-GB"/>
              </w:rPr>
              <w:t>Pretoria (Head Office)</w:t>
            </w:r>
          </w:p>
        </w:tc>
      </w:tr>
    </w:tbl>
    <w:p w14:paraId="0E95A4DA" w14:textId="77777777" w:rsidR="0054578A" w:rsidRPr="00D00CDC" w:rsidRDefault="0054578A" w:rsidP="0054578A">
      <w:pPr>
        <w:jc w:val="both"/>
        <w:rPr>
          <w:rFonts w:ascii="Arial" w:hAnsi="Arial" w:cs="Arial"/>
        </w:rPr>
      </w:pPr>
    </w:p>
    <w:p w14:paraId="1DE2022F" w14:textId="3422453C" w:rsidR="0054578A" w:rsidRPr="00D00CDC" w:rsidRDefault="00623B4D" w:rsidP="009C5C4F">
      <w:pPr>
        <w:jc w:val="both"/>
        <w:rPr>
          <w:rFonts w:ascii="Arial" w:hAnsi="Arial" w:cs="Arial"/>
          <w:b/>
          <w:lang w:val="en-GB"/>
        </w:rPr>
      </w:pPr>
      <w:r w:rsidRPr="00D00CDC">
        <w:rPr>
          <w:rFonts w:ascii="Arial" w:hAnsi="Arial" w:cs="Arial"/>
          <w:b/>
          <w:lang w:val="en-GB"/>
        </w:rPr>
        <w:t xml:space="preserve">ABOUT </w:t>
      </w:r>
      <w:r w:rsidR="0054578A" w:rsidRPr="00D00CDC">
        <w:rPr>
          <w:rFonts w:ascii="Arial" w:hAnsi="Arial" w:cs="Arial"/>
          <w:b/>
          <w:lang w:val="en-GB"/>
        </w:rPr>
        <w:t>THE JOB:</w:t>
      </w:r>
    </w:p>
    <w:p w14:paraId="31589C36" w14:textId="23C8851B" w:rsidR="00F6646D" w:rsidRPr="00D00CDC" w:rsidRDefault="002C5EEF" w:rsidP="00AA7F10">
      <w:pPr>
        <w:jc w:val="both"/>
        <w:rPr>
          <w:rFonts w:ascii="Arial" w:hAnsi="Arial" w:cs="Arial"/>
          <w:lang w:val="en-GB"/>
        </w:rPr>
      </w:pPr>
      <w:r w:rsidRPr="00D00CDC">
        <w:rPr>
          <w:rFonts w:ascii="Arial" w:hAnsi="Arial" w:cs="Arial"/>
          <w:lang w:val="en-GB"/>
        </w:rPr>
        <w:t>The role will be responsible for m</w:t>
      </w:r>
      <w:r w:rsidR="0054110E" w:rsidRPr="00D00CDC">
        <w:rPr>
          <w:rFonts w:ascii="Arial" w:hAnsi="Arial" w:cs="Arial"/>
          <w:lang w:val="en-GB"/>
        </w:rPr>
        <w:t>anag</w:t>
      </w:r>
      <w:r w:rsidRPr="00D00CDC">
        <w:rPr>
          <w:rFonts w:ascii="Arial" w:hAnsi="Arial" w:cs="Arial"/>
          <w:lang w:val="en-GB"/>
        </w:rPr>
        <w:t>ing</w:t>
      </w:r>
      <w:r w:rsidR="0054110E" w:rsidRPr="00D00CDC">
        <w:rPr>
          <w:rFonts w:ascii="Arial" w:hAnsi="Arial" w:cs="Arial"/>
          <w:lang w:val="en-GB"/>
        </w:rPr>
        <w:t>, oversee</w:t>
      </w:r>
      <w:r w:rsidRPr="00D00CDC">
        <w:rPr>
          <w:rFonts w:ascii="Arial" w:hAnsi="Arial" w:cs="Arial"/>
          <w:lang w:val="en-GB"/>
        </w:rPr>
        <w:t>ing</w:t>
      </w:r>
      <w:r w:rsidR="0054110E" w:rsidRPr="00D00CDC">
        <w:rPr>
          <w:rFonts w:ascii="Arial" w:hAnsi="Arial" w:cs="Arial"/>
          <w:lang w:val="en-GB"/>
        </w:rPr>
        <w:t xml:space="preserve"> and ensur</w:t>
      </w:r>
      <w:r w:rsidRPr="00D00CDC">
        <w:rPr>
          <w:rFonts w:ascii="Arial" w:hAnsi="Arial" w:cs="Arial"/>
          <w:lang w:val="en-GB"/>
        </w:rPr>
        <w:t>ing</w:t>
      </w:r>
      <w:r w:rsidR="0054110E" w:rsidRPr="00D00CDC">
        <w:rPr>
          <w:rFonts w:ascii="Arial" w:hAnsi="Arial" w:cs="Arial"/>
          <w:lang w:val="en-GB"/>
        </w:rPr>
        <w:t xml:space="preserve"> compliance to accounting principles for the division in support of the financial good governance of AB Travel Management services</w:t>
      </w:r>
    </w:p>
    <w:p w14:paraId="5FB85B1D" w14:textId="77777777" w:rsidR="009C5C4F" w:rsidRPr="00D00CDC" w:rsidRDefault="009C5C4F" w:rsidP="009C5C4F">
      <w:pPr>
        <w:jc w:val="both"/>
        <w:rPr>
          <w:rFonts w:ascii="Arial" w:hAnsi="Arial" w:cs="Arial"/>
          <w:lang w:val="en-GB"/>
        </w:rPr>
      </w:pPr>
    </w:p>
    <w:p w14:paraId="344BFCB7" w14:textId="11B6DB6B" w:rsidR="009C5C4F" w:rsidRPr="00D00CDC" w:rsidRDefault="0052211A" w:rsidP="009C5C4F">
      <w:pPr>
        <w:jc w:val="both"/>
        <w:rPr>
          <w:rFonts w:ascii="Arial" w:hAnsi="Arial" w:cs="Arial"/>
          <w:b/>
          <w:lang w:val="en-GB"/>
        </w:rPr>
      </w:pPr>
      <w:r w:rsidRPr="00D00CDC">
        <w:rPr>
          <w:rFonts w:ascii="Arial" w:hAnsi="Arial" w:cs="Arial"/>
          <w:b/>
          <w:lang w:val="en-GB"/>
        </w:rPr>
        <w:t>QUALIFICATIONS:</w:t>
      </w:r>
    </w:p>
    <w:p w14:paraId="2FC6FEC4" w14:textId="36BF29AB" w:rsidR="00E53B86" w:rsidRPr="00D00CDC" w:rsidRDefault="00E53B86" w:rsidP="00E53B86">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Grade 12</w:t>
      </w:r>
      <w:r w:rsidR="0000614B" w:rsidRPr="00D00CDC">
        <w:rPr>
          <w:rFonts w:ascii="Arial" w:hAnsi="Arial" w:cs="Arial"/>
          <w:bCs/>
          <w:sz w:val="22"/>
          <w:szCs w:val="22"/>
          <w:lang w:val="en-GB"/>
        </w:rPr>
        <w:t>.</w:t>
      </w:r>
    </w:p>
    <w:p w14:paraId="21B46391" w14:textId="5EAE65A1"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 xml:space="preserve">B. Tech or </w:t>
      </w:r>
      <w:r w:rsidR="002C5EEF" w:rsidRPr="00D00CDC">
        <w:rPr>
          <w:rFonts w:ascii="Arial" w:hAnsi="Arial" w:cs="Arial"/>
          <w:bCs/>
          <w:sz w:val="22"/>
          <w:szCs w:val="22"/>
          <w:lang w:val="en-GB"/>
        </w:rPr>
        <w:t>B. Com</w:t>
      </w:r>
      <w:r w:rsidRPr="00D00CDC">
        <w:rPr>
          <w:rFonts w:ascii="Arial" w:hAnsi="Arial" w:cs="Arial"/>
          <w:bCs/>
          <w:sz w:val="22"/>
          <w:szCs w:val="22"/>
          <w:lang w:val="en-GB"/>
        </w:rPr>
        <w:t xml:space="preserve"> degree (with accounting at 3rd level)</w:t>
      </w:r>
      <w:r w:rsidR="0000614B" w:rsidRPr="00D00CDC">
        <w:rPr>
          <w:rFonts w:ascii="Arial" w:hAnsi="Arial" w:cs="Arial"/>
          <w:bCs/>
          <w:sz w:val="22"/>
          <w:szCs w:val="22"/>
          <w:lang w:val="en-GB"/>
        </w:rPr>
        <w:t>.</w:t>
      </w:r>
    </w:p>
    <w:p w14:paraId="498E86D0" w14:textId="53178B2B" w:rsidR="00B72391"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Post graduate qualification will be advantageous (Finance, Management, Commerce).</w:t>
      </w:r>
    </w:p>
    <w:p w14:paraId="4942D433" w14:textId="77777777" w:rsidR="0054110E" w:rsidRPr="00D00CDC" w:rsidRDefault="0054110E" w:rsidP="0054110E">
      <w:pPr>
        <w:pStyle w:val="ListParagraph"/>
        <w:ind w:left="388"/>
        <w:jc w:val="both"/>
        <w:rPr>
          <w:rFonts w:ascii="Arial" w:hAnsi="Arial" w:cs="Arial"/>
          <w:bCs/>
          <w:sz w:val="22"/>
          <w:szCs w:val="22"/>
          <w:lang w:val="en-GB"/>
        </w:rPr>
      </w:pPr>
    </w:p>
    <w:p w14:paraId="3F8B4E2A" w14:textId="0596CBB7" w:rsidR="008F37B5" w:rsidRPr="00D00CDC" w:rsidRDefault="00E53B86" w:rsidP="00E53B86">
      <w:pPr>
        <w:jc w:val="both"/>
        <w:rPr>
          <w:rFonts w:ascii="Arial" w:hAnsi="Arial" w:cs="Arial"/>
          <w:b/>
          <w:lang w:val="en-GB"/>
        </w:rPr>
      </w:pPr>
      <w:r w:rsidRPr="00D00CDC">
        <w:rPr>
          <w:rFonts w:ascii="Arial" w:hAnsi="Arial" w:cs="Arial"/>
          <w:b/>
          <w:lang w:val="en-GB"/>
        </w:rPr>
        <w:t xml:space="preserve">EXPERIENCE: </w:t>
      </w:r>
    </w:p>
    <w:p w14:paraId="23211619" w14:textId="3460424B" w:rsidR="0054110E" w:rsidRPr="00D00CDC" w:rsidRDefault="002C5EEF"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 xml:space="preserve">Minimum </w:t>
      </w:r>
      <w:r w:rsidR="0054110E" w:rsidRPr="00D00CDC">
        <w:rPr>
          <w:rFonts w:ascii="Arial" w:hAnsi="Arial" w:cs="Arial"/>
          <w:bCs/>
          <w:sz w:val="22"/>
          <w:szCs w:val="22"/>
          <w:lang w:val="en-GB"/>
        </w:rPr>
        <w:t xml:space="preserve">10 </w:t>
      </w:r>
      <w:r w:rsidRPr="00D00CDC">
        <w:rPr>
          <w:rFonts w:ascii="Arial" w:hAnsi="Arial" w:cs="Arial"/>
          <w:bCs/>
          <w:sz w:val="22"/>
          <w:szCs w:val="22"/>
          <w:lang w:val="en-GB"/>
        </w:rPr>
        <w:t>years’ experience</w:t>
      </w:r>
      <w:r w:rsidR="0054110E" w:rsidRPr="00D00CDC">
        <w:rPr>
          <w:rFonts w:ascii="Arial" w:hAnsi="Arial" w:cs="Arial"/>
          <w:bCs/>
          <w:sz w:val="22"/>
          <w:szCs w:val="22"/>
          <w:lang w:val="en-GB"/>
        </w:rPr>
        <w:t>, including 5 years in a supervisory role in finance, accounting, or travel agency financial operations, preferably within IATA/BSP-regulated environments.</w:t>
      </w:r>
    </w:p>
    <w:p w14:paraId="47598A09"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Hands-on experience in cash flow management, debtor control, and credit risk mitigation.</w:t>
      </w:r>
    </w:p>
    <w:p w14:paraId="002B0DDA" w14:textId="511143A6" w:rsidR="005A5264"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Exposure to financial reporting, budget execution, and cost control in a multi-departmental or divisional setting</w:t>
      </w:r>
      <w:r w:rsidR="00331586" w:rsidRPr="00D00CDC">
        <w:rPr>
          <w:rFonts w:ascii="Arial" w:hAnsi="Arial" w:cs="Arial"/>
          <w:bCs/>
          <w:sz w:val="22"/>
          <w:szCs w:val="22"/>
          <w:lang w:val="en-GB"/>
        </w:rPr>
        <w:t>.</w:t>
      </w:r>
    </w:p>
    <w:p w14:paraId="31A8B14A" w14:textId="77777777" w:rsidR="001961BB" w:rsidRPr="00D00CDC" w:rsidRDefault="001961BB" w:rsidP="00AA7F10">
      <w:pPr>
        <w:jc w:val="both"/>
        <w:rPr>
          <w:rFonts w:ascii="Arial" w:hAnsi="Arial" w:cs="Arial"/>
          <w:b/>
          <w:bCs/>
        </w:rPr>
      </w:pPr>
    </w:p>
    <w:p w14:paraId="15FCDD82" w14:textId="57C52BA0" w:rsidR="001961BB" w:rsidRPr="00D00CDC" w:rsidRDefault="002C1EAC" w:rsidP="00AB058E">
      <w:pPr>
        <w:spacing w:after="240"/>
        <w:jc w:val="both"/>
        <w:rPr>
          <w:rFonts w:ascii="Arial" w:hAnsi="Arial" w:cs="Arial"/>
        </w:rPr>
      </w:pPr>
      <w:r w:rsidRPr="00D00CDC">
        <w:rPr>
          <w:rFonts w:ascii="Arial" w:hAnsi="Arial" w:cs="Arial"/>
          <w:b/>
          <w:bCs/>
        </w:rPr>
        <w:t>KEY RESPONSIBILITIES</w:t>
      </w:r>
      <w:r w:rsidR="00AA7F10" w:rsidRPr="00D00CDC">
        <w:rPr>
          <w:rFonts w:ascii="Arial" w:hAnsi="Arial" w:cs="Arial"/>
        </w:rPr>
        <w:t>:</w:t>
      </w:r>
    </w:p>
    <w:p w14:paraId="5901FA5D" w14:textId="6BDC0EE9" w:rsidR="0054110E" w:rsidRPr="00D00CDC" w:rsidRDefault="0054110E" w:rsidP="00E53B86">
      <w:pPr>
        <w:spacing w:line="276" w:lineRule="auto"/>
        <w:jc w:val="both"/>
        <w:rPr>
          <w:rFonts w:ascii="Arial" w:hAnsi="Arial" w:cs="Arial"/>
          <w:b/>
          <w:lang w:val="en-GB"/>
        </w:rPr>
      </w:pPr>
      <w:r w:rsidRPr="00D00CDC">
        <w:rPr>
          <w:rFonts w:ascii="Arial" w:hAnsi="Arial" w:cs="Arial"/>
          <w:b/>
          <w:lang w:val="en-GB"/>
        </w:rPr>
        <w:t>Financial Governance &amp; Revenue Assurance</w:t>
      </w:r>
    </w:p>
    <w:p w14:paraId="115368CD"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Oversee and ensure the completeness and accuracy of all accounting, administrative and systems processes executed within AB Travel.</w:t>
      </w:r>
    </w:p>
    <w:p w14:paraId="47E83572" w14:textId="6CE509B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Assure that issued travel services are billed in line with the clients’ service level and contractual agreements.</w:t>
      </w:r>
    </w:p>
    <w:p w14:paraId="3257405D" w14:textId="10A3B96D"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Prevent revenue leakage through the implementation of control systems deliverable frameworks and focused deadlines</w:t>
      </w:r>
      <w:r w:rsidR="002C5EEF" w:rsidRPr="00D00CDC">
        <w:rPr>
          <w:rFonts w:ascii="Arial" w:hAnsi="Arial" w:cs="Arial"/>
          <w:bCs/>
          <w:sz w:val="22"/>
          <w:szCs w:val="22"/>
          <w:lang w:val="en-GB"/>
        </w:rPr>
        <w:t>.</w:t>
      </w:r>
    </w:p>
    <w:p w14:paraId="584D037B"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Investigate and resolve Debtors and Creditors discrepancies impacting on revenue recovery.</w:t>
      </w:r>
    </w:p>
    <w:p w14:paraId="53B0897F" w14:textId="29B2A552" w:rsidR="00E53B86"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Strengthen internal revenue controls to reduce financial risk exposure.</w:t>
      </w:r>
    </w:p>
    <w:p w14:paraId="457D0DBC" w14:textId="77777777" w:rsidR="0054110E" w:rsidRPr="00D00CDC" w:rsidRDefault="0054110E" w:rsidP="0054110E">
      <w:pPr>
        <w:pStyle w:val="ListParagraph"/>
        <w:ind w:left="388"/>
        <w:jc w:val="both"/>
        <w:rPr>
          <w:rFonts w:ascii="Arial" w:hAnsi="Arial" w:cs="Arial"/>
          <w:bCs/>
          <w:sz w:val="22"/>
          <w:szCs w:val="22"/>
          <w:lang w:val="en-GB"/>
        </w:rPr>
      </w:pPr>
    </w:p>
    <w:p w14:paraId="466E68C3" w14:textId="7434EE69" w:rsidR="0054110E" w:rsidRPr="00D00CDC" w:rsidRDefault="0054110E" w:rsidP="00E53B86">
      <w:pPr>
        <w:spacing w:line="276" w:lineRule="auto"/>
        <w:jc w:val="both"/>
        <w:rPr>
          <w:rFonts w:ascii="Arial" w:hAnsi="Arial" w:cs="Arial"/>
          <w:b/>
          <w:lang w:val="en-GB"/>
        </w:rPr>
      </w:pPr>
      <w:r w:rsidRPr="00D00CDC">
        <w:rPr>
          <w:rFonts w:ascii="Arial" w:hAnsi="Arial" w:cs="Arial"/>
          <w:b/>
          <w:lang w:val="en-GB"/>
        </w:rPr>
        <w:t>AB Travel Financial Risk Governance &amp; Airline Settlement Oversight</w:t>
      </w:r>
    </w:p>
    <w:p w14:paraId="379D7753"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Perform, review, and finalise BSP reconciliations in alignment with internal ticketing and accounting systems to ensure accuracy and completeness.</w:t>
      </w:r>
    </w:p>
    <w:p w14:paraId="2EF76DC4"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Ensure the BSP person uses the daily TINS Report as a must to balance and complete daily invoicing.</w:t>
      </w:r>
    </w:p>
    <w:p w14:paraId="653ABE09" w14:textId="52DA02A1"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Complete monthly Bank, Credit Card and BSP reconciliations</w:t>
      </w:r>
      <w:r w:rsidR="002C5EEF" w:rsidRPr="00D00CDC">
        <w:rPr>
          <w:rFonts w:ascii="Arial" w:hAnsi="Arial" w:cs="Arial"/>
          <w:bCs/>
          <w:sz w:val="22"/>
          <w:szCs w:val="22"/>
          <w:lang w:val="en-GB"/>
        </w:rPr>
        <w:t>.</w:t>
      </w:r>
    </w:p>
    <w:p w14:paraId="19994433"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Oversee and authorise BSP and Creditors remittances within prescribed settlement timelines to maintain airline accreditation, Iata Licencing (IATA accreditation), cash flow stability.</w:t>
      </w:r>
    </w:p>
    <w:p w14:paraId="27DA25B5"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Analyse, dispute, and resolve ADMs, ACMs to minimise financial losses and prevent recurring billing discrepancies.</w:t>
      </w:r>
    </w:p>
    <w:p w14:paraId="76E547AC"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Identify and correct mismatches between issued tickets, refunds, exchanges, and BSP statements to prevent revenue leakage.</w:t>
      </w:r>
    </w:p>
    <w:p w14:paraId="3A03F510" w14:textId="54FB9728" w:rsidR="005A5264"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lastRenderedPageBreak/>
        <w:t>Monitor BSP exposure, prevent penalties or suspension risks, and ensure adherence to IATA regulations and internal financial controls.</w:t>
      </w:r>
    </w:p>
    <w:p w14:paraId="4BDB1598" w14:textId="77777777" w:rsidR="0054110E" w:rsidRPr="00D00CDC" w:rsidRDefault="0054110E" w:rsidP="00E53B86">
      <w:pPr>
        <w:spacing w:line="276" w:lineRule="auto"/>
        <w:jc w:val="both"/>
        <w:rPr>
          <w:rFonts w:ascii="Arial" w:hAnsi="Arial" w:cs="Arial"/>
          <w:b/>
          <w:bCs/>
        </w:rPr>
      </w:pPr>
    </w:p>
    <w:p w14:paraId="20CBFF2F" w14:textId="48089324" w:rsidR="0054110E" w:rsidRPr="00D00CDC" w:rsidRDefault="0054110E" w:rsidP="00E53B86">
      <w:pPr>
        <w:spacing w:line="276" w:lineRule="auto"/>
        <w:jc w:val="both"/>
        <w:rPr>
          <w:rFonts w:ascii="Arial" w:hAnsi="Arial" w:cs="Arial"/>
          <w:b/>
          <w:bCs/>
        </w:rPr>
      </w:pPr>
      <w:r w:rsidRPr="00D00CDC">
        <w:rPr>
          <w:rFonts w:ascii="Arial" w:hAnsi="Arial" w:cs="Arial"/>
          <w:b/>
          <w:bCs/>
        </w:rPr>
        <w:t>Cash Flow &amp; Debtor Management</w:t>
      </w:r>
    </w:p>
    <w:p w14:paraId="440D1B1D"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Monitor outstanding accounts, enforce credit terms, and proactively manage overdue balances.</w:t>
      </w:r>
    </w:p>
    <w:p w14:paraId="45D5EFD7"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Recover outstanding payments within agreed credit periods to minimise financial exposure.</w:t>
      </w:r>
    </w:p>
    <w:p w14:paraId="3B5EEFCF"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Coordinate cash inflows with BSP cycles and supplier payment obligations to maintain operational liquidity.</w:t>
      </w:r>
    </w:p>
    <w:p w14:paraId="4422B6D5"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Identify, escalate, and resolve high-risk receivables to prevent bad debts.</w:t>
      </w:r>
    </w:p>
    <w:p w14:paraId="3DC4369B" w14:textId="6360A5D1" w:rsidR="00B72391"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Strengthen the AB travel’s financial position by optimising debtor management practices.</w:t>
      </w:r>
    </w:p>
    <w:p w14:paraId="0DC63F4F" w14:textId="77777777" w:rsidR="0054110E" w:rsidRPr="00D00CDC" w:rsidRDefault="0054110E" w:rsidP="0054110E">
      <w:pPr>
        <w:pStyle w:val="ListParagraph"/>
        <w:ind w:left="388"/>
        <w:jc w:val="both"/>
        <w:rPr>
          <w:rFonts w:ascii="Arial" w:hAnsi="Arial" w:cs="Arial"/>
          <w:bCs/>
          <w:sz w:val="22"/>
          <w:szCs w:val="22"/>
          <w:lang w:val="en-GB"/>
        </w:rPr>
      </w:pPr>
    </w:p>
    <w:p w14:paraId="2105573C" w14:textId="377D58E8" w:rsidR="008F37B5" w:rsidRPr="00D00CDC" w:rsidRDefault="0054110E" w:rsidP="00E53B86">
      <w:pPr>
        <w:spacing w:line="276" w:lineRule="auto"/>
        <w:jc w:val="both"/>
        <w:rPr>
          <w:rFonts w:ascii="Arial" w:hAnsi="Arial" w:cs="Arial"/>
          <w:b/>
          <w:bCs/>
          <w:lang w:val="en-GB"/>
        </w:rPr>
      </w:pPr>
      <w:r w:rsidRPr="00D00CDC">
        <w:rPr>
          <w:rFonts w:ascii="Arial" w:hAnsi="Arial" w:cs="Arial"/>
          <w:b/>
          <w:lang w:val="en-GB"/>
        </w:rPr>
        <w:t>Financial Reporting, Budgeting &amp; Compliance</w:t>
      </w:r>
    </w:p>
    <w:p w14:paraId="50BCFCBD"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Prepare and certify income statements for reporting to provide reliable data for management and governance decisions.</w:t>
      </w:r>
    </w:p>
    <w:p w14:paraId="7D38D02C"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Reconcile all finance modules (Debtors, Creditors, Cashbook, Disbursement) with the General Ledger and Trial Balance to ensure completeness and accuracy.</w:t>
      </w:r>
    </w:p>
    <w:p w14:paraId="07972F4F"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Monitor divisional expenditure against approved budgets, identify overspending trends, and implement cost control measures to support profitability.</w:t>
      </w:r>
    </w:p>
    <w:p w14:paraId="4DFE9EF9" w14:textId="77777777" w:rsidR="0054110E"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Analyse financial data to improve forecasting accuracy and inform strategic planning.</w:t>
      </w:r>
    </w:p>
    <w:p w14:paraId="5564B0FD" w14:textId="2B18008E" w:rsidR="00B72391" w:rsidRPr="00D00CDC" w:rsidRDefault="0054110E" w:rsidP="0054110E">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Validate projected income against actual revenue, ensure accuracy and completeness of financial data, and maintain integrity across all financial systems</w:t>
      </w:r>
      <w:r w:rsidR="002C5EEF" w:rsidRPr="00D00CDC">
        <w:rPr>
          <w:rFonts w:ascii="Arial" w:hAnsi="Arial" w:cs="Arial"/>
          <w:bCs/>
          <w:sz w:val="22"/>
          <w:szCs w:val="22"/>
          <w:lang w:val="en-GB"/>
        </w:rPr>
        <w:t>.</w:t>
      </w:r>
    </w:p>
    <w:p w14:paraId="40BDBAA1" w14:textId="77777777" w:rsidR="00B72391" w:rsidRPr="00D00CDC" w:rsidRDefault="00B72391" w:rsidP="00477463">
      <w:pPr>
        <w:rPr>
          <w:rFonts w:ascii="Arial" w:hAnsi="Arial" w:cs="Arial"/>
          <w:lang w:val="en-GB"/>
        </w:rPr>
      </w:pPr>
    </w:p>
    <w:p w14:paraId="2B6816CA" w14:textId="77777777" w:rsidR="002C5EEF" w:rsidRPr="00D00CDC" w:rsidRDefault="008E31C6" w:rsidP="002C5EEF">
      <w:pPr>
        <w:spacing w:line="276" w:lineRule="auto"/>
        <w:jc w:val="both"/>
        <w:rPr>
          <w:rFonts w:ascii="Arial" w:hAnsi="Arial" w:cs="Arial"/>
          <w:b/>
          <w:lang w:val="en-GB"/>
        </w:rPr>
      </w:pPr>
      <w:r w:rsidRPr="00D00CDC">
        <w:rPr>
          <w:rFonts w:ascii="Arial" w:hAnsi="Arial" w:cs="Arial"/>
          <w:b/>
          <w:lang w:val="en-GB"/>
        </w:rPr>
        <w:t xml:space="preserve">KNOWLEDGE &amp; FUNCTIONAL SKILLS: </w:t>
      </w:r>
    </w:p>
    <w:p w14:paraId="6702724C" w14:textId="0D770E31" w:rsidR="0054110E" w:rsidRPr="00D00CDC" w:rsidRDefault="0054110E" w:rsidP="002C5EEF">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Strong grasp of accounting principles, financial reporting, and general ledger reconciliation.</w:t>
      </w:r>
    </w:p>
    <w:p w14:paraId="63E7C63E" w14:textId="77777777" w:rsidR="0054110E" w:rsidRPr="00D00CDC" w:rsidRDefault="0054110E" w:rsidP="002C5EEF">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Knowledge of cash flow management, credit control, and debtor management best practices.</w:t>
      </w:r>
    </w:p>
    <w:p w14:paraId="4DAD234C" w14:textId="77777777" w:rsidR="0054110E" w:rsidRPr="00D00CDC" w:rsidRDefault="0054110E" w:rsidP="002C5EEF">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Familiarity with budgeting, cost control, and financial forecasting processes.</w:t>
      </w:r>
    </w:p>
    <w:p w14:paraId="41C54C13" w14:textId="062FEE3C" w:rsidR="008F37B5" w:rsidRPr="00D00CDC" w:rsidRDefault="0054110E" w:rsidP="002C5EEF">
      <w:pPr>
        <w:pStyle w:val="ListParagraph"/>
        <w:numPr>
          <w:ilvl w:val="0"/>
          <w:numId w:val="15"/>
        </w:numPr>
        <w:jc w:val="both"/>
        <w:rPr>
          <w:rFonts w:ascii="Arial" w:hAnsi="Arial" w:cs="Arial"/>
          <w:bCs/>
          <w:sz w:val="22"/>
          <w:szCs w:val="22"/>
          <w:lang w:val="en-GB"/>
        </w:rPr>
      </w:pPr>
      <w:r w:rsidRPr="00D00CDC">
        <w:rPr>
          <w:rFonts w:ascii="Arial" w:hAnsi="Arial" w:cs="Arial"/>
          <w:bCs/>
          <w:sz w:val="22"/>
          <w:szCs w:val="22"/>
          <w:lang w:val="en-GB"/>
        </w:rPr>
        <w:t>Understanding of compliance requirements, regulatory frameworks, and internal control standards.</w:t>
      </w:r>
    </w:p>
    <w:p w14:paraId="0CDF0DDC" w14:textId="77777777" w:rsidR="0054110E" w:rsidRPr="00D00CDC" w:rsidRDefault="0054110E" w:rsidP="00AA7F10">
      <w:pPr>
        <w:snapToGrid w:val="0"/>
        <w:jc w:val="both"/>
        <w:rPr>
          <w:rFonts w:ascii="Arial" w:hAnsi="Arial" w:cs="Arial"/>
          <w:b/>
          <w:bCs/>
          <w:lang w:val="en-GB"/>
        </w:rPr>
      </w:pPr>
    </w:p>
    <w:p w14:paraId="1D3E9A6A" w14:textId="1EDE4D81" w:rsidR="00AA7F10" w:rsidRPr="00D00CDC" w:rsidRDefault="00AA7F10" w:rsidP="00AA7F10">
      <w:pPr>
        <w:snapToGrid w:val="0"/>
        <w:jc w:val="both"/>
        <w:rPr>
          <w:rStyle w:val="Hyperlink"/>
          <w:rFonts w:ascii="Arial" w:hAnsi="Arial" w:cs="Arial"/>
        </w:rPr>
      </w:pPr>
      <w:r w:rsidRPr="00D00CDC">
        <w:rPr>
          <w:rFonts w:ascii="Arial" w:hAnsi="Arial" w:cs="Arial"/>
          <w:b/>
          <w:bCs/>
          <w:lang w:val="en-GB"/>
        </w:rPr>
        <w:t xml:space="preserve">To apply, send your </w:t>
      </w:r>
      <w:r w:rsidR="007818E7" w:rsidRPr="00D00CDC">
        <w:rPr>
          <w:rFonts w:ascii="Arial" w:hAnsi="Arial" w:cs="Arial"/>
          <w:b/>
          <w:bCs/>
          <w:lang w:val="en-GB"/>
        </w:rPr>
        <w:t>Curriculum Vitae</w:t>
      </w:r>
      <w:r w:rsidRPr="00D00CDC">
        <w:rPr>
          <w:rFonts w:ascii="Arial" w:hAnsi="Arial" w:cs="Arial"/>
          <w:b/>
          <w:bCs/>
          <w:lang w:val="en-GB"/>
        </w:rPr>
        <w:t xml:space="preserve"> to </w:t>
      </w:r>
      <w:hyperlink r:id="rId10" w:history="1">
        <w:r w:rsidR="00D85032" w:rsidRPr="00265B50">
          <w:rPr>
            <w:rStyle w:val="Hyperlink"/>
            <w:rFonts w:ascii="Arial" w:hAnsi="Arial" w:cs="Arial"/>
            <w:b/>
            <w:bCs/>
            <w:lang w:val="en-GB"/>
          </w:rPr>
          <w:t>Vacancies@armscor.co.za</w:t>
        </w:r>
      </w:hyperlink>
      <w:r w:rsidR="0052211A" w:rsidRPr="00D00CDC">
        <w:rPr>
          <w:rStyle w:val="Hyperlink"/>
          <w:rFonts w:ascii="Arial" w:hAnsi="Arial" w:cs="Arial"/>
        </w:rPr>
        <w:t xml:space="preserve"> </w:t>
      </w:r>
    </w:p>
    <w:p w14:paraId="05B687FD" w14:textId="77777777" w:rsidR="00AA7F10" w:rsidRPr="00D00CDC" w:rsidRDefault="00AA7F10" w:rsidP="00AA7F10">
      <w:pPr>
        <w:jc w:val="both"/>
        <w:rPr>
          <w:rStyle w:val="Hyperlink"/>
          <w:rFonts w:ascii="Arial" w:hAnsi="Arial" w:cs="Arial"/>
          <w:b/>
          <w:bCs/>
          <w:lang w:val="en-GB"/>
        </w:rPr>
      </w:pPr>
    </w:p>
    <w:p w14:paraId="468BA038" w14:textId="77777777" w:rsidR="00AA7F10" w:rsidRPr="00D00CDC" w:rsidRDefault="00AA7F10" w:rsidP="00AA7F10">
      <w:pPr>
        <w:jc w:val="both"/>
        <w:rPr>
          <w:rFonts w:ascii="Arial" w:hAnsi="Arial" w:cs="Arial"/>
          <w:b/>
          <w:bCs/>
          <w:i/>
          <w:iCs/>
          <w:lang w:val="en-GB"/>
        </w:rPr>
      </w:pPr>
      <w:r w:rsidRPr="00D00CDC">
        <w:rPr>
          <w:rFonts w:ascii="Arial" w:hAnsi="Arial" w:cs="Arial"/>
          <w:b/>
          <w:bCs/>
          <w:i/>
          <w:iCs/>
          <w:lang w:val="en-GB"/>
        </w:rPr>
        <w:t>NB: All applicants must indicate reference number of the position they are applying for in the subject heading.</w:t>
      </w:r>
    </w:p>
    <w:p w14:paraId="758E5DBB" w14:textId="77777777" w:rsidR="00AA7F10" w:rsidRPr="00D00CDC" w:rsidRDefault="00AA7F10" w:rsidP="00AA7F10">
      <w:pPr>
        <w:jc w:val="both"/>
        <w:rPr>
          <w:rFonts w:ascii="Arial" w:hAnsi="Arial" w:cs="Arial"/>
          <w:b/>
          <w:bCs/>
          <w:i/>
          <w:iCs/>
          <w:lang w:val="en-GB"/>
        </w:rPr>
      </w:pPr>
    </w:p>
    <w:p w14:paraId="71AEC385" w14:textId="77777777" w:rsidR="00AA7F10" w:rsidRPr="00D00CDC" w:rsidRDefault="00AA7F10" w:rsidP="00AA7F10">
      <w:pPr>
        <w:jc w:val="both"/>
        <w:rPr>
          <w:rFonts w:ascii="Arial" w:hAnsi="Arial" w:cs="Arial"/>
          <w:b/>
          <w:bCs/>
          <w:i/>
          <w:iCs/>
          <w:lang w:val="en-GB"/>
        </w:rPr>
      </w:pPr>
      <w:r w:rsidRPr="00D00CDC">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D00CDC">
        <w:rPr>
          <w:rFonts w:ascii="Arial" w:hAnsi="Arial" w:cs="Arial"/>
          <w:b/>
          <w:bCs/>
          <w:i/>
          <w:iCs/>
          <w:lang w:val="en-GB"/>
        </w:rPr>
        <w:t>People with disabilities are encouraged to apply.</w:t>
      </w:r>
    </w:p>
    <w:p w14:paraId="588FB76E" w14:textId="77777777" w:rsidR="00AA7F10" w:rsidRPr="00D00CDC" w:rsidRDefault="00AA7F10" w:rsidP="00AA7F10">
      <w:pPr>
        <w:jc w:val="both"/>
        <w:rPr>
          <w:rFonts w:ascii="Arial" w:hAnsi="Arial" w:cs="Arial"/>
          <w:lang w:val="en-GB"/>
        </w:rPr>
      </w:pPr>
    </w:p>
    <w:p w14:paraId="7F11EFB9" w14:textId="28740803" w:rsidR="00AA7F10" w:rsidRPr="00D00CDC" w:rsidRDefault="00AA7F10" w:rsidP="00AA7F10">
      <w:pPr>
        <w:jc w:val="both"/>
        <w:rPr>
          <w:rFonts w:ascii="Arial" w:hAnsi="Arial" w:cs="Arial"/>
          <w:lang w:val="en-GB"/>
        </w:rPr>
      </w:pPr>
      <w:r w:rsidRPr="00D00CDC">
        <w:rPr>
          <w:rFonts w:ascii="Arial" w:hAnsi="Arial" w:cs="Arial"/>
          <w:lang w:val="en-GB"/>
        </w:rPr>
        <w:t xml:space="preserve">The closing date for applications is </w:t>
      </w:r>
      <w:r w:rsidR="00D85032">
        <w:rPr>
          <w:rFonts w:ascii="Arial" w:hAnsi="Arial" w:cs="Arial"/>
          <w:b/>
          <w:bCs/>
          <w:color w:val="000000" w:themeColor="text1"/>
          <w:lang w:val="en-GB"/>
        </w:rPr>
        <w:t>5</w:t>
      </w:r>
      <w:r w:rsidR="00A855B1">
        <w:rPr>
          <w:rFonts w:ascii="Arial" w:hAnsi="Arial" w:cs="Arial"/>
          <w:b/>
          <w:bCs/>
          <w:color w:val="000000" w:themeColor="text1"/>
          <w:lang w:val="en-GB"/>
        </w:rPr>
        <w:t xml:space="preserve"> June</w:t>
      </w:r>
      <w:r w:rsidR="002C5EEF" w:rsidRPr="00D00CDC">
        <w:rPr>
          <w:rFonts w:ascii="Arial" w:hAnsi="Arial" w:cs="Arial"/>
          <w:b/>
          <w:bCs/>
          <w:color w:val="000000" w:themeColor="text1"/>
          <w:lang w:val="en-GB"/>
        </w:rPr>
        <w:t xml:space="preserve"> 2026</w:t>
      </w:r>
      <w:r w:rsidRPr="00D00CDC">
        <w:rPr>
          <w:rFonts w:ascii="Arial" w:hAnsi="Arial" w:cs="Arial"/>
          <w:lang w:val="en-GB"/>
        </w:rPr>
        <w:t>.  Late applications will not be considered.</w:t>
      </w:r>
    </w:p>
    <w:p w14:paraId="49D5D0BE" w14:textId="77777777" w:rsidR="002C5EEF" w:rsidRPr="00D00CDC" w:rsidRDefault="002C5EEF" w:rsidP="0054578A">
      <w:pPr>
        <w:jc w:val="both"/>
        <w:rPr>
          <w:rFonts w:ascii="Arial" w:hAnsi="Arial" w:cs="Arial"/>
          <w:b/>
          <w:bCs/>
          <w:lang w:val="en-GB"/>
        </w:rPr>
      </w:pPr>
    </w:p>
    <w:p w14:paraId="50741209" w14:textId="5D34B377" w:rsidR="00AA7F10" w:rsidRPr="00623B4D" w:rsidRDefault="00AA7F10" w:rsidP="0054578A">
      <w:pPr>
        <w:jc w:val="both"/>
        <w:rPr>
          <w:rFonts w:ascii="Arial" w:hAnsi="Arial" w:cs="Arial"/>
          <w:b/>
          <w:bCs/>
          <w:lang w:val="en-GB"/>
        </w:rPr>
      </w:pPr>
      <w:r w:rsidRPr="00D00CDC">
        <w:rPr>
          <w:rFonts w:ascii="Arial" w:hAnsi="Arial" w:cs="Arial"/>
          <w:b/>
          <w:bCs/>
          <w:lang w:val="en-GB"/>
        </w:rPr>
        <w:t xml:space="preserve">Enquiries: Ms </w:t>
      </w:r>
      <w:r w:rsidR="002C5EEF" w:rsidRPr="00D00CDC">
        <w:rPr>
          <w:rFonts w:ascii="Arial" w:hAnsi="Arial" w:cs="Arial"/>
          <w:b/>
          <w:bCs/>
          <w:color w:val="000000" w:themeColor="text1"/>
          <w:lang w:val="en-GB"/>
        </w:rPr>
        <w:t>Dineo Bopape</w:t>
      </w:r>
      <w:r w:rsidR="00CE72EA" w:rsidRPr="00D00CDC">
        <w:rPr>
          <w:rFonts w:ascii="Arial" w:hAnsi="Arial" w:cs="Arial"/>
          <w:b/>
          <w:bCs/>
          <w:color w:val="000000" w:themeColor="text1"/>
          <w:lang w:val="en-GB"/>
        </w:rPr>
        <w:t xml:space="preserve"> </w:t>
      </w:r>
      <w:r w:rsidR="00CE72EA" w:rsidRPr="00D00CDC">
        <w:rPr>
          <w:rFonts w:ascii="Arial" w:hAnsi="Arial" w:cs="Arial"/>
          <w:b/>
          <w:bCs/>
          <w:lang w:val="en-GB"/>
        </w:rPr>
        <w:t>(012 428</w:t>
      </w:r>
      <w:r w:rsidR="00CE72EA" w:rsidRPr="00D00CDC">
        <w:rPr>
          <w:rFonts w:ascii="Arial" w:hAnsi="Arial" w:cs="Arial"/>
          <w:b/>
          <w:bCs/>
          <w:color w:val="000000" w:themeColor="text1"/>
          <w:lang w:val="en-GB"/>
        </w:rPr>
        <w:t xml:space="preserve"> </w:t>
      </w:r>
      <w:r w:rsidR="002C5EEF" w:rsidRPr="002C5EEF">
        <w:rPr>
          <w:rFonts w:ascii="Arial" w:hAnsi="Arial" w:cs="Arial"/>
          <w:b/>
          <w:bCs/>
          <w:color w:val="000000" w:themeColor="text1"/>
          <w:lang w:val="en-GB"/>
        </w:rPr>
        <w:t>2412</w:t>
      </w:r>
      <w:r w:rsidR="00CE72EA">
        <w:rPr>
          <w:rFonts w:ascii="Arial" w:hAnsi="Arial" w:cs="Arial"/>
          <w:b/>
          <w:bCs/>
          <w:lang w:val="en-GB"/>
        </w:rPr>
        <w:t xml:space="preserve">) </w:t>
      </w:r>
    </w:p>
    <w:sectPr w:rsidR="00AA7F10" w:rsidRPr="00623B4D" w:rsidSect="00473763">
      <w:headerReference w:type="default" r:id="rId11"/>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0823" w14:textId="77777777" w:rsidR="00FC0ED6" w:rsidRDefault="00FC0ED6" w:rsidP="00623B4D">
      <w:r>
        <w:separator/>
      </w:r>
    </w:p>
  </w:endnote>
  <w:endnote w:type="continuationSeparator" w:id="0">
    <w:p w14:paraId="5AA5151E" w14:textId="77777777" w:rsidR="00FC0ED6" w:rsidRDefault="00FC0ED6"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D659" w14:textId="77777777" w:rsidR="00FC0ED6" w:rsidRDefault="00FC0ED6" w:rsidP="00623B4D">
      <w:r>
        <w:separator/>
      </w:r>
    </w:p>
  </w:footnote>
  <w:footnote w:type="continuationSeparator" w:id="0">
    <w:p w14:paraId="64EB5C08" w14:textId="77777777" w:rsidR="00FC0ED6" w:rsidRDefault="00FC0ED6"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86DD" w14:textId="4777DD40" w:rsidR="00623B4D" w:rsidRDefault="00623B4D">
    <w:pPr>
      <w:pStyle w:val="Header"/>
    </w:pPr>
    <w:r>
      <w:tab/>
    </w:r>
    <w:r>
      <w:tab/>
    </w:r>
    <w:r>
      <w:rPr>
        <w:noProof/>
        <w:lang w:eastAsia="en-ZA"/>
      </w:rPr>
      <w:drawing>
        <wp:inline distT="0" distB="0" distL="0" distR="0" wp14:anchorId="66E39C5A" wp14:editId="7AA1B3E8">
          <wp:extent cx="1480165" cy="55971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277" cy="5805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6A4F90"/>
    <w:multiLevelType w:val="hybridMultilevel"/>
    <w:tmpl w:val="F928073A"/>
    <w:lvl w:ilvl="0" w:tplc="84C26AE6">
      <w:start w:val="1"/>
      <w:numFmt w:val="bullet"/>
      <w:lvlText w:val=""/>
      <w:lvlJc w:val="left"/>
      <w:pPr>
        <w:tabs>
          <w:tab w:val="num" w:pos="720"/>
        </w:tabs>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9CA47C0"/>
    <w:multiLevelType w:val="hybridMultilevel"/>
    <w:tmpl w:val="9D101C5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4D05F2"/>
    <w:multiLevelType w:val="hybridMultilevel"/>
    <w:tmpl w:val="84C4E0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5616EC9"/>
    <w:multiLevelType w:val="hybridMultilevel"/>
    <w:tmpl w:val="4E22BFEA"/>
    <w:lvl w:ilvl="0" w:tplc="C3AAD2BE">
      <w:numFmt w:val="bullet"/>
      <w:lvlText w:val="•"/>
      <w:lvlJc w:val="left"/>
      <w:pPr>
        <w:ind w:left="720" w:hanging="720"/>
      </w:pPr>
      <w:rPr>
        <w:rFonts w:ascii="Arial" w:eastAsia="Calibr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9" w15:restartNumberingAfterBreak="0">
    <w:nsid w:val="187C703C"/>
    <w:multiLevelType w:val="hybridMultilevel"/>
    <w:tmpl w:val="0A5AA37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A2126A0"/>
    <w:multiLevelType w:val="hybridMultilevel"/>
    <w:tmpl w:val="F9F60C0E"/>
    <w:lvl w:ilvl="0" w:tplc="88021BE0">
      <w:start w:val="1"/>
      <w:numFmt w:val="bullet"/>
      <w:lvlText w:val=""/>
      <w:lvlJc w:val="left"/>
      <w:pPr>
        <w:tabs>
          <w:tab w:val="num" w:pos="360"/>
        </w:tabs>
        <w:ind w:left="340" w:hanging="34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1087A"/>
    <w:multiLevelType w:val="hybridMultilevel"/>
    <w:tmpl w:val="ADEA6D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4755DA2"/>
    <w:multiLevelType w:val="hybridMultilevel"/>
    <w:tmpl w:val="97B214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16"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C52A8D"/>
    <w:multiLevelType w:val="hybridMultilevel"/>
    <w:tmpl w:val="BDCE3C2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BD10E8C"/>
    <w:multiLevelType w:val="hybridMultilevel"/>
    <w:tmpl w:val="2DE4EB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D4D6797"/>
    <w:multiLevelType w:val="hybridMultilevel"/>
    <w:tmpl w:val="BE7E78E0"/>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6F31DD9"/>
    <w:multiLevelType w:val="hybridMultilevel"/>
    <w:tmpl w:val="8F66C9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946485A"/>
    <w:multiLevelType w:val="hybridMultilevel"/>
    <w:tmpl w:val="1ACA0E1C"/>
    <w:lvl w:ilvl="0" w:tplc="428A39D8">
      <w:numFmt w:val="bullet"/>
      <w:lvlText w:val="•"/>
      <w:lvlJc w:val="left"/>
      <w:pPr>
        <w:ind w:left="1095" w:hanging="375"/>
      </w:pPr>
      <w:rPr>
        <w:rFonts w:ascii="Arial" w:eastAsia="Times New Roman" w:hAnsi="Arial" w:cs="Aria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020212A"/>
    <w:multiLevelType w:val="hybridMultilevel"/>
    <w:tmpl w:val="DC8A40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2F95AD1"/>
    <w:multiLevelType w:val="hybridMultilevel"/>
    <w:tmpl w:val="A464FC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5BF4D7E"/>
    <w:multiLevelType w:val="hybridMultilevel"/>
    <w:tmpl w:val="5B009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6694EF0"/>
    <w:multiLevelType w:val="hybridMultilevel"/>
    <w:tmpl w:val="8228A9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6971589"/>
    <w:multiLevelType w:val="hybridMultilevel"/>
    <w:tmpl w:val="DC5EB4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0" w15:restartNumberingAfterBreak="0">
    <w:nsid w:val="5B8960CB"/>
    <w:multiLevelType w:val="hybridMultilevel"/>
    <w:tmpl w:val="51940E40"/>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032E62"/>
    <w:multiLevelType w:val="hybridMultilevel"/>
    <w:tmpl w:val="418E63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2562C3"/>
    <w:multiLevelType w:val="hybridMultilevel"/>
    <w:tmpl w:val="3AC4D2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22D1A96"/>
    <w:multiLevelType w:val="hybridMultilevel"/>
    <w:tmpl w:val="8F80BD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70029E4"/>
    <w:multiLevelType w:val="hybridMultilevel"/>
    <w:tmpl w:val="91AC1D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40"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BDE7F56"/>
    <w:multiLevelType w:val="hybridMultilevel"/>
    <w:tmpl w:val="B5CCE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95E5E1A"/>
    <w:multiLevelType w:val="hybridMultilevel"/>
    <w:tmpl w:val="44BEBE9A"/>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43"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4" w15:restartNumberingAfterBreak="0">
    <w:nsid w:val="7FB51A55"/>
    <w:multiLevelType w:val="hybridMultilevel"/>
    <w:tmpl w:val="EEE671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23"/>
  </w:num>
  <w:num w:numId="4">
    <w:abstractNumId w:val="29"/>
  </w:num>
  <w:num w:numId="5">
    <w:abstractNumId w:val="15"/>
  </w:num>
  <w:num w:numId="6">
    <w:abstractNumId w:val="31"/>
  </w:num>
  <w:num w:numId="7">
    <w:abstractNumId w:val="11"/>
  </w:num>
  <w:num w:numId="8">
    <w:abstractNumId w:val="32"/>
  </w:num>
  <w:num w:numId="9">
    <w:abstractNumId w:val="3"/>
  </w:num>
  <w:num w:numId="10">
    <w:abstractNumId w:val="14"/>
  </w:num>
  <w:num w:numId="11">
    <w:abstractNumId w:val="8"/>
  </w:num>
  <w:num w:numId="12">
    <w:abstractNumId w:val="1"/>
  </w:num>
  <w:num w:numId="13">
    <w:abstractNumId w:val="43"/>
  </w:num>
  <w:num w:numId="14">
    <w:abstractNumId w:val="39"/>
  </w:num>
  <w:num w:numId="15">
    <w:abstractNumId w:val="42"/>
  </w:num>
  <w:num w:numId="16">
    <w:abstractNumId w:val="19"/>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7"/>
  </w:num>
  <w:num w:numId="20">
    <w:abstractNumId w:val="19"/>
  </w:num>
  <w:num w:numId="21">
    <w:abstractNumId w:val="12"/>
  </w:num>
  <w:num w:numId="22">
    <w:abstractNumId w:val="10"/>
  </w:num>
  <w:num w:numId="23">
    <w:abstractNumId w:val="34"/>
  </w:num>
  <w:num w:numId="24">
    <w:abstractNumId w:val="5"/>
  </w:num>
  <w:num w:numId="25">
    <w:abstractNumId w:val="17"/>
  </w:num>
  <w:num w:numId="26">
    <w:abstractNumId w:val="9"/>
  </w:num>
  <w:num w:numId="27">
    <w:abstractNumId w:val="20"/>
  </w:num>
  <w:num w:numId="28">
    <w:abstractNumId w:val="41"/>
  </w:num>
  <w:num w:numId="29">
    <w:abstractNumId w:val="24"/>
  </w:num>
  <w:num w:numId="30">
    <w:abstractNumId w:val="13"/>
  </w:num>
  <w:num w:numId="31">
    <w:abstractNumId w:val="35"/>
  </w:num>
  <w:num w:numId="32">
    <w:abstractNumId w:val="6"/>
  </w:num>
  <w:num w:numId="33">
    <w:abstractNumId w:val="18"/>
  </w:num>
  <w:num w:numId="34">
    <w:abstractNumId w:val="25"/>
  </w:num>
  <w:num w:numId="35">
    <w:abstractNumId w:val="28"/>
  </w:num>
  <w:num w:numId="36">
    <w:abstractNumId w:val="7"/>
  </w:num>
  <w:num w:numId="37">
    <w:abstractNumId w:val="21"/>
  </w:num>
  <w:num w:numId="38">
    <w:abstractNumId w:val="26"/>
  </w:num>
  <w:num w:numId="39">
    <w:abstractNumId w:val="4"/>
  </w:num>
  <w:num w:numId="40">
    <w:abstractNumId w:val="37"/>
  </w:num>
  <w:num w:numId="41">
    <w:abstractNumId w:val="16"/>
  </w:num>
  <w:num w:numId="42">
    <w:abstractNumId w:val="44"/>
  </w:num>
  <w:num w:numId="43">
    <w:abstractNumId w:val="40"/>
  </w:num>
  <w:num w:numId="44">
    <w:abstractNumId w:val="36"/>
  </w:num>
  <w:num w:numId="45">
    <w:abstractNumId w:val="3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0614B"/>
    <w:rsid w:val="00065D1D"/>
    <w:rsid w:val="000A1C81"/>
    <w:rsid w:val="000A5365"/>
    <w:rsid w:val="000D06F4"/>
    <w:rsid w:val="000F58B8"/>
    <w:rsid w:val="00130252"/>
    <w:rsid w:val="00187F82"/>
    <w:rsid w:val="001961BB"/>
    <w:rsid w:val="001C16B7"/>
    <w:rsid w:val="00207496"/>
    <w:rsid w:val="00253C79"/>
    <w:rsid w:val="0025693B"/>
    <w:rsid w:val="00267B01"/>
    <w:rsid w:val="00285B5A"/>
    <w:rsid w:val="002C1EAC"/>
    <w:rsid w:val="002C5EEF"/>
    <w:rsid w:val="002D0F9A"/>
    <w:rsid w:val="002D35E9"/>
    <w:rsid w:val="002D54AA"/>
    <w:rsid w:val="00331586"/>
    <w:rsid w:val="00426AAC"/>
    <w:rsid w:val="00471BDA"/>
    <w:rsid w:val="00473763"/>
    <w:rsid w:val="00474006"/>
    <w:rsid w:val="00477463"/>
    <w:rsid w:val="004B1C0E"/>
    <w:rsid w:val="004D4874"/>
    <w:rsid w:val="004E581A"/>
    <w:rsid w:val="0052211A"/>
    <w:rsid w:val="0054110E"/>
    <w:rsid w:val="0054578A"/>
    <w:rsid w:val="005466F6"/>
    <w:rsid w:val="005531D7"/>
    <w:rsid w:val="005A5264"/>
    <w:rsid w:val="005C0834"/>
    <w:rsid w:val="005D5303"/>
    <w:rsid w:val="005D5FB8"/>
    <w:rsid w:val="005F28D6"/>
    <w:rsid w:val="00623B4D"/>
    <w:rsid w:val="006501F6"/>
    <w:rsid w:val="00657121"/>
    <w:rsid w:val="006A5379"/>
    <w:rsid w:val="006A73B1"/>
    <w:rsid w:val="006A7685"/>
    <w:rsid w:val="006D27CE"/>
    <w:rsid w:val="00701418"/>
    <w:rsid w:val="00766F2C"/>
    <w:rsid w:val="007818E7"/>
    <w:rsid w:val="007C46AE"/>
    <w:rsid w:val="007E1F9D"/>
    <w:rsid w:val="007E52A2"/>
    <w:rsid w:val="007F7FD8"/>
    <w:rsid w:val="008012F7"/>
    <w:rsid w:val="00874E92"/>
    <w:rsid w:val="008812A9"/>
    <w:rsid w:val="008A5CEE"/>
    <w:rsid w:val="008E31C6"/>
    <w:rsid w:val="008F37B5"/>
    <w:rsid w:val="009037E2"/>
    <w:rsid w:val="00957316"/>
    <w:rsid w:val="009667F2"/>
    <w:rsid w:val="00967AC4"/>
    <w:rsid w:val="009739FE"/>
    <w:rsid w:val="009A6239"/>
    <w:rsid w:val="009B0703"/>
    <w:rsid w:val="009B6633"/>
    <w:rsid w:val="009C5C4F"/>
    <w:rsid w:val="009D3CE0"/>
    <w:rsid w:val="00A56B42"/>
    <w:rsid w:val="00A83F8E"/>
    <w:rsid w:val="00A8556E"/>
    <w:rsid w:val="00A855B1"/>
    <w:rsid w:val="00AA11DD"/>
    <w:rsid w:val="00AA7F10"/>
    <w:rsid w:val="00AB0421"/>
    <w:rsid w:val="00AB058E"/>
    <w:rsid w:val="00B72391"/>
    <w:rsid w:val="00BA4D0D"/>
    <w:rsid w:val="00C47CE5"/>
    <w:rsid w:val="00C526AF"/>
    <w:rsid w:val="00CA7296"/>
    <w:rsid w:val="00CE72EA"/>
    <w:rsid w:val="00D00CDC"/>
    <w:rsid w:val="00D21990"/>
    <w:rsid w:val="00D23599"/>
    <w:rsid w:val="00D3721D"/>
    <w:rsid w:val="00D55E99"/>
    <w:rsid w:val="00D71F82"/>
    <w:rsid w:val="00D85032"/>
    <w:rsid w:val="00D85772"/>
    <w:rsid w:val="00DA496C"/>
    <w:rsid w:val="00DD50DF"/>
    <w:rsid w:val="00E045C1"/>
    <w:rsid w:val="00E06020"/>
    <w:rsid w:val="00E45B00"/>
    <w:rsid w:val="00E53B86"/>
    <w:rsid w:val="00E75FBE"/>
    <w:rsid w:val="00EB0746"/>
    <w:rsid w:val="00EE0832"/>
    <w:rsid w:val="00F1761C"/>
    <w:rsid w:val="00F6646D"/>
    <w:rsid w:val="00F96C58"/>
    <w:rsid w:val="00FC0E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3E905"/>
  <w15:chartTrackingRefBased/>
  <w15:docId w15:val="{B447AF71-D63E-4E75-A5C5-32D1274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paragraph" w:styleId="Heading4">
    <w:name w:val="heading 4"/>
    <w:basedOn w:val="Normal"/>
    <w:next w:val="Normal"/>
    <w:link w:val="Heading4Char"/>
    <w:uiPriority w:val="9"/>
    <w:qFormat/>
    <w:rsid w:val="0054110E"/>
    <w:pPr>
      <w:keepNext/>
      <w:ind w:left="720"/>
      <w:outlineLvl w:val="3"/>
    </w:pPr>
    <w:rPr>
      <w:rFonts w:eastAsia="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uiPriority w:val="59"/>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paragraph" w:styleId="BalloonText">
    <w:name w:val="Balloon Text"/>
    <w:basedOn w:val="Normal"/>
    <w:link w:val="BalloonTextChar"/>
    <w:uiPriority w:val="99"/>
    <w:semiHidden/>
    <w:unhideWhenUsed/>
    <w:rsid w:val="008F37B5"/>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8F37B5"/>
    <w:rPr>
      <w:rFonts w:ascii="Tahoma" w:hAnsi="Tahoma" w:cs="Tahoma"/>
      <w:color w:val="auto"/>
      <w:sz w:val="16"/>
      <w:szCs w:val="16"/>
      <w:lang w:val="en-US"/>
    </w:rPr>
  </w:style>
  <w:style w:type="character" w:customStyle="1" w:styleId="Heading4Char">
    <w:name w:val="Heading 4 Char"/>
    <w:basedOn w:val="DefaultParagraphFont"/>
    <w:link w:val="Heading4"/>
    <w:uiPriority w:val="9"/>
    <w:rsid w:val="0054110E"/>
    <w:rPr>
      <w:rFonts w:ascii="Calibri" w:eastAsia="Times New Roman" w:hAnsi="Calibri" w:cs="Times New Roman"/>
      <w:b/>
      <w:bCs/>
      <w:color w:val="auto"/>
      <w:sz w:val="28"/>
      <w:szCs w:val="28"/>
      <w:lang w:val="en-US"/>
    </w:rPr>
  </w:style>
  <w:style w:type="character" w:styleId="UnresolvedMention">
    <w:name w:val="Unresolved Mention"/>
    <w:basedOn w:val="DefaultParagraphFont"/>
    <w:uiPriority w:val="99"/>
    <w:semiHidden/>
    <w:unhideWhenUsed/>
    <w:rsid w:val="002C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acancies@armscor.co.z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fa0429655ce1c506fcc9a21327b1c231">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dca5e233045ac769b73253eb3f7a1df9"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2026</Year>
    <Broadcaster_x0020_Type xmlns="c5ee36a9-88cf-4679-ab67-90a59ca93862">Vacancies and Appointments</Broadcaster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91230-2F93-43CC-9BB6-758A1E95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Senior Contract Administrator - Command and Control</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Finance AB Log</dc:title>
  <dc:subject/>
  <dc:creator>Cynthia Msiza</dc:creator>
  <cp:keywords/>
  <dc:description/>
  <cp:lastModifiedBy>Dineo Bopape</cp:lastModifiedBy>
  <cp:revision>14</cp:revision>
  <dcterms:created xsi:type="dcterms:W3CDTF">2026-05-04T08:52:00Z</dcterms:created>
  <dcterms:modified xsi:type="dcterms:W3CDTF">2026-05-22T14:38:00Z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