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EFBE" w14:textId="2A5C4753" w:rsidR="00B7004A" w:rsidRDefault="00B7004A" w:rsidP="00FD2D79">
      <w:pP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2AC4B374" wp14:editId="549FAF3E">
            <wp:simplePos x="0" y="0"/>
            <wp:positionH relativeFrom="column">
              <wp:posOffset>4533900</wp:posOffset>
            </wp:positionH>
            <wp:positionV relativeFrom="paragraph">
              <wp:posOffset>-801370</wp:posOffset>
            </wp:positionV>
            <wp:extent cx="1912620" cy="716280"/>
            <wp:effectExtent l="0" t="0" r="0" b="7620"/>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2620" cy="716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4367A3" w14:textId="7D9F111E" w:rsidR="00F02E30" w:rsidRDefault="002602DC" w:rsidP="00C37A62">
      <w:pPr>
        <w:jc w:val="center"/>
        <w:rPr>
          <w:rFonts w:ascii="Arial" w:hAnsi="Arial" w:cs="Arial"/>
          <w:b/>
          <w:lang w:val="en-GB"/>
        </w:rPr>
      </w:pPr>
      <w:r>
        <w:rPr>
          <w:rFonts w:ascii="Arial" w:hAnsi="Arial" w:cs="Arial"/>
          <w:b/>
          <w:lang w:val="en-GB"/>
        </w:rPr>
        <w:t>EX</w:t>
      </w:r>
      <w:r w:rsidR="00F02E30" w:rsidRPr="002D54AA">
        <w:rPr>
          <w:rFonts w:ascii="Arial" w:hAnsi="Arial" w:cs="Arial"/>
          <w:b/>
          <w:lang w:val="en-GB"/>
        </w:rPr>
        <w:t>TERNAL ADVERTISEMENT</w:t>
      </w:r>
    </w:p>
    <w:tbl>
      <w:tblPr>
        <w:tblStyle w:val="TableGrid"/>
        <w:tblpPr w:leftFromText="180" w:rightFromText="180" w:vertAnchor="page" w:horzAnchor="margin" w:tblpY="2221"/>
        <w:tblW w:w="0" w:type="auto"/>
        <w:tblLook w:val="04A0" w:firstRow="1" w:lastRow="0" w:firstColumn="1" w:lastColumn="0" w:noHBand="0" w:noVBand="1"/>
      </w:tblPr>
      <w:tblGrid>
        <w:gridCol w:w="4673"/>
        <w:gridCol w:w="4253"/>
      </w:tblGrid>
      <w:tr w:rsidR="00843AFD" w:rsidRPr="00C33258" w14:paraId="664EE3B8" w14:textId="77777777" w:rsidTr="00843AFD">
        <w:trPr>
          <w:trHeight w:val="274"/>
        </w:trPr>
        <w:tc>
          <w:tcPr>
            <w:tcW w:w="4673" w:type="dxa"/>
          </w:tcPr>
          <w:p w14:paraId="1EB45C8D" w14:textId="77777777" w:rsidR="00843AFD" w:rsidRPr="00C33258" w:rsidRDefault="00843AFD" w:rsidP="00843AFD">
            <w:pPr>
              <w:rPr>
                <w:rFonts w:ascii="Arial" w:hAnsi="Arial" w:cs="Arial"/>
                <w:b/>
                <w:bCs/>
                <w:sz w:val="22"/>
                <w:szCs w:val="22"/>
                <w:lang w:val="en-GB"/>
              </w:rPr>
            </w:pPr>
            <w:r w:rsidRPr="00C33258">
              <w:rPr>
                <w:rFonts w:ascii="Arial" w:hAnsi="Arial" w:cs="Arial"/>
                <w:b/>
                <w:bCs/>
                <w:sz w:val="22"/>
                <w:szCs w:val="22"/>
                <w:lang w:val="en-GB"/>
              </w:rPr>
              <w:t xml:space="preserve">Position: </w:t>
            </w:r>
          </w:p>
        </w:tc>
        <w:tc>
          <w:tcPr>
            <w:tcW w:w="4253" w:type="dxa"/>
          </w:tcPr>
          <w:p w14:paraId="084F53CF" w14:textId="5B0EE643" w:rsidR="00843AFD" w:rsidRPr="00C33258" w:rsidRDefault="00B35F8C" w:rsidP="00843AFD">
            <w:pPr>
              <w:rPr>
                <w:rFonts w:ascii="Arial" w:hAnsi="Arial" w:cs="Arial"/>
                <w:b/>
                <w:bCs/>
                <w:sz w:val="22"/>
                <w:szCs w:val="22"/>
                <w:lang w:val="en-GB"/>
              </w:rPr>
            </w:pPr>
            <w:r w:rsidRPr="00B35F8C">
              <w:rPr>
                <w:rFonts w:ascii="Arial" w:hAnsi="Arial" w:cs="Arial"/>
                <w:b/>
                <w:bCs/>
                <w:sz w:val="22"/>
                <w:szCs w:val="22"/>
                <w:lang w:val="en-GB"/>
              </w:rPr>
              <w:t>Senior System</w:t>
            </w:r>
            <w:r w:rsidR="00E805CD">
              <w:rPr>
                <w:rFonts w:ascii="Arial" w:hAnsi="Arial" w:cs="Arial"/>
                <w:b/>
                <w:bCs/>
                <w:sz w:val="22"/>
                <w:szCs w:val="22"/>
                <w:lang w:val="en-GB"/>
              </w:rPr>
              <w:t>s</w:t>
            </w:r>
            <w:r w:rsidRPr="00B35F8C">
              <w:rPr>
                <w:rFonts w:ascii="Arial" w:hAnsi="Arial" w:cs="Arial"/>
                <w:b/>
                <w:bCs/>
                <w:sz w:val="22"/>
                <w:szCs w:val="22"/>
                <w:lang w:val="en-GB"/>
              </w:rPr>
              <w:t xml:space="preserve"> Engineer</w:t>
            </w:r>
          </w:p>
        </w:tc>
      </w:tr>
      <w:tr w:rsidR="00442302" w:rsidRPr="00C33258" w14:paraId="299F445B" w14:textId="77777777" w:rsidTr="00843AFD">
        <w:trPr>
          <w:trHeight w:val="274"/>
        </w:trPr>
        <w:tc>
          <w:tcPr>
            <w:tcW w:w="4673" w:type="dxa"/>
          </w:tcPr>
          <w:p w14:paraId="5F7453E1" w14:textId="10DB0BC7" w:rsidR="00442302" w:rsidRPr="00442302" w:rsidRDefault="00442302" w:rsidP="00843AFD">
            <w:pPr>
              <w:rPr>
                <w:rFonts w:ascii="Arial" w:hAnsi="Arial" w:cs="Arial"/>
                <w:b/>
                <w:bCs/>
                <w:sz w:val="22"/>
                <w:szCs w:val="22"/>
                <w:lang w:val="en-GB"/>
              </w:rPr>
            </w:pPr>
            <w:r w:rsidRPr="00442302">
              <w:rPr>
                <w:rFonts w:ascii="Arial" w:hAnsi="Arial" w:cs="Arial"/>
                <w:b/>
                <w:bCs/>
                <w:sz w:val="22"/>
                <w:szCs w:val="22"/>
                <w:lang w:val="en-GB"/>
              </w:rPr>
              <w:t xml:space="preserve">Division: </w:t>
            </w:r>
          </w:p>
        </w:tc>
        <w:tc>
          <w:tcPr>
            <w:tcW w:w="4253" w:type="dxa"/>
          </w:tcPr>
          <w:p w14:paraId="0CC2D62D" w14:textId="2319612B" w:rsidR="00442302" w:rsidRPr="00442302" w:rsidRDefault="00442302" w:rsidP="00843AFD">
            <w:pPr>
              <w:rPr>
                <w:rFonts w:ascii="Arial" w:hAnsi="Arial" w:cs="Arial"/>
                <w:b/>
                <w:bCs/>
                <w:sz w:val="22"/>
                <w:szCs w:val="22"/>
                <w:lang w:val="en-GB"/>
              </w:rPr>
            </w:pPr>
            <w:r w:rsidRPr="00442302">
              <w:rPr>
                <w:rFonts w:ascii="Arial" w:hAnsi="Arial" w:cs="Arial"/>
                <w:b/>
                <w:bCs/>
                <w:sz w:val="22"/>
                <w:szCs w:val="22"/>
                <w:lang w:val="en-GB"/>
              </w:rPr>
              <w:t>Systems and Logistics Engineering</w:t>
            </w:r>
          </w:p>
        </w:tc>
      </w:tr>
      <w:tr w:rsidR="00843AFD" w:rsidRPr="00C33258" w14:paraId="1E26AD01" w14:textId="77777777" w:rsidTr="00843AFD">
        <w:trPr>
          <w:trHeight w:val="58"/>
        </w:trPr>
        <w:tc>
          <w:tcPr>
            <w:tcW w:w="4673" w:type="dxa"/>
          </w:tcPr>
          <w:p w14:paraId="7B82FA88" w14:textId="77777777" w:rsidR="00843AFD" w:rsidRPr="00C33258" w:rsidRDefault="00843AFD" w:rsidP="00843AFD">
            <w:pPr>
              <w:rPr>
                <w:rFonts w:ascii="Arial" w:hAnsi="Arial" w:cs="Arial"/>
                <w:b/>
                <w:sz w:val="22"/>
                <w:szCs w:val="22"/>
                <w:lang w:val="en-GB"/>
              </w:rPr>
            </w:pPr>
            <w:r w:rsidRPr="00C33258">
              <w:rPr>
                <w:rFonts w:ascii="Arial" w:hAnsi="Arial" w:cs="Arial"/>
                <w:b/>
                <w:sz w:val="22"/>
                <w:szCs w:val="22"/>
                <w:lang w:val="en-GB"/>
              </w:rPr>
              <w:t>Reference Number:</w:t>
            </w:r>
            <w:r w:rsidRPr="00C33258">
              <w:rPr>
                <w:rFonts w:ascii="Arial" w:hAnsi="Arial" w:cs="Arial"/>
                <w:sz w:val="22"/>
                <w:szCs w:val="22"/>
                <w:lang w:val="en-GB"/>
              </w:rPr>
              <w:t xml:space="preserve"> </w:t>
            </w:r>
          </w:p>
        </w:tc>
        <w:tc>
          <w:tcPr>
            <w:tcW w:w="4253" w:type="dxa"/>
          </w:tcPr>
          <w:p w14:paraId="6AD23ACD" w14:textId="7E21501D" w:rsidR="00843AFD" w:rsidRPr="00C33258" w:rsidRDefault="002602DC" w:rsidP="00843AFD">
            <w:pPr>
              <w:rPr>
                <w:rFonts w:ascii="Arial" w:hAnsi="Arial" w:cs="Arial"/>
                <w:sz w:val="22"/>
                <w:szCs w:val="22"/>
                <w:lang w:val="en-GB"/>
              </w:rPr>
            </w:pPr>
            <w:r w:rsidRPr="002602DC">
              <w:rPr>
                <w:rFonts w:ascii="Arial" w:hAnsi="Arial" w:cs="Arial"/>
                <w:b/>
                <w:sz w:val="22"/>
                <w:szCs w:val="22"/>
                <w:lang w:val="en-GB"/>
              </w:rPr>
              <w:t>9993491</w:t>
            </w:r>
          </w:p>
        </w:tc>
      </w:tr>
      <w:tr w:rsidR="00843AFD" w:rsidRPr="00C33258" w14:paraId="3817B293" w14:textId="77777777" w:rsidTr="00843AFD">
        <w:trPr>
          <w:trHeight w:val="142"/>
        </w:trPr>
        <w:tc>
          <w:tcPr>
            <w:tcW w:w="4673" w:type="dxa"/>
          </w:tcPr>
          <w:p w14:paraId="4CC7D3CF" w14:textId="77777777" w:rsidR="00843AFD" w:rsidRPr="002602DC" w:rsidRDefault="00843AFD" w:rsidP="00843AFD">
            <w:pPr>
              <w:rPr>
                <w:rFonts w:ascii="Arial" w:hAnsi="Arial" w:cs="Arial"/>
                <w:b/>
                <w:bCs/>
                <w:sz w:val="22"/>
                <w:szCs w:val="22"/>
                <w:lang w:val="en-GB"/>
              </w:rPr>
            </w:pPr>
            <w:r w:rsidRPr="002602DC">
              <w:rPr>
                <w:rFonts w:ascii="Arial" w:hAnsi="Arial" w:cs="Arial"/>
                <w:b/>
                <w:bCs/>
                <w:sz w:val="22"/>
                <w:szCs w:val="22"/>
                <w:lang w:val="en-GB"/>
              </w:rPr>
              <w:t xml:space="preserve">Job Grade: </w:t>
            </w:r>
          </w:p>
        </w:tc>
        <w:tc>
          <w:tcPr>
            <w:tcW w:w="4253" w:type="dxa"/>
          </w:tcPr>
          <w:p w14:paraId="29157AE0" w14:textId="77777777" w:rsidR="00843AFD" w:rsidRPr="002602DC" w:rsidRDefault="00843AFD" w:rsidP="00843AFD">
            <w:pPr>
              <w:rPr>
                <w:rFonts w:ascii="Arial" w:hAnsi="Arial" w:cs="Arial"/>
                <w:b/>
                <w:bCs/>
                <w:sz w:val="22"/>
                <w:szCs w:val="22"/>
                <w:lang w:val="en-GB"/>
              </w:rPr>
            </w:pPr>
            <w:r w:rsidRPr="002602DC">
              <w:rPr>
                <w:rFonts w:ascii="Arial" w:hAnsi="Arial" w:cs="Arial"/>
                <w:b/>
                <w:bCs/>
                <w:sz w:val="22"/>
                <w:szCs w:val="22"/>
                <w:lang w:val="en-GB"/>
              </w:rPr>
              <w:t>D3</w:t>
            </w:r>
          </w:p>
        </w:tc>
      </w:tr>
      <w:tr w:rsidR="00843AFD" w:rsidRPr="00C33258" w14:paraId="2E7768E2" w14:textId="77777777" w:rsidTr="00843AFD">
        <w:trPr>
          <w:trHeight w:val="58"/>
        </w:trPr>
        <w:tc>
          <w:tcPr>
            <w:tcW w:w="4673" w:type="dxa"/>
          </w:tcPr>
          <w:p w14:paraId="002A8B05" w14:textId="77777777" w:rsidR="00843AFD" w:rsidRPr="00C33258" w:rsidRDefault="00843AFD" w:rsidP="00843AFD">
            <w:pPr>
              <w:rPr>
                <w:rFonts w:ascii="Arial" w:hAnsi="Arial" w:cs="Arial"/>
                <w:b/>
                <w:sz w:val="22"/>
                <w:szCs w:val="22"/>
                <w:lang w:val="en-GB"/>
              </w:rPr>
            </w:pPr>
            <w:r w:rsidRPr="00C33258">
              <w:rPr>
                <w:rFonts w:ascii="Arial" w:hAnsi="Arial" w:cs="Arial"/>
                <w:b/>
                <w:sz w:val="22"/>
                <w:szCs w:val="22"/>
                <w:lang w:val="en-GB"/>
              </w:rPr>
              <w:t xml:space="preserve">Location: </w:t>
            </w:r>
          </w:p>
        </w:tc>
        <w:tc>
          <w:tcPr>
            <w:tcW w:w="4253" w:type="dxa"/>
          </w:tcPr>
          <w:p w14:paraId="7B23FB94" w14:textId="77777777" w:rsidR="00843AFD" w:rsidRPr="00C33258" w:rsidRDefault="00843AFD" w:rsidP="00843AFD">
            <w:pPr>
              <w:rPr>
                <w:rFonts w:ascii="Arial" w:hAnsi="Arial" w:cs="Arial"/>
                <w:b/>
                <w:sz w:val="22"/>
                <w:szCs w:val="22"/>
                <w:lang w:val="en-GB"/>
              </w:rPr>
            </w:pPr>
            <w:r>
              <w:rPr>
                <w:rFonts w:ascii="Arial" w:hAnsi="Arial" w:cs="Arial"/>
                <w:b/>
                <w:sz w:val="22"/>
                <w:szCs w:val="22"/>
                <w:lang w:val="en-GB"/>
              </w:rPr>
              <w:t>Head Office</w:t>
            </w:r>
          </w:p>
        </w:tc>
      </w:tr>
    </w:tbl>
    <w:p w14:paraId="6B887489" w14:textId="6CEB893D" w:rsidR="00B7004A" w:rsidRDefault="00B7004A" w:rsidP="00361B1A">
      <w:pPr>
        <w:jc w:val="both"/>
        <w:rPr>
          <w:rFonts w:ascii="Arial" w:hAnsi="Arial" w:cs="Arial"/>
          <w:b/>
          <w:bCs/>
        </w:rPr>
      </w:pPr>
    </w:p>
    <w:p w14:paraId="0FAFAA9B" w14:textId="77777777" w:rsidR="00FD2D79" w:rsidRDefault="00FD2D79" w:rsidP="00361B1A">
      <w:pPr>
        <w:jc w:val="both"/>
        <w:rPr>
          <w:rFonts w:ascii="Arial" w:hAnsi="Arial" w:cs="Arial"/>
          <w:b/>
          <w:bCs/>
        </w:rPr>
      </w:pPr>
    </w:p>
    <w:p w14:paraId="10DAF3B6" w14:textId="3129124C" w:rsidR="00740F5C" w:rsidRDefault="004966F7" w:rsidP="00361B1A">
      <w:pPr>
        <w:jc w:val="both"/>
        <w:rPr>
          <w:rFonts w:ascii="Arial" w:hAnsi="Arial" w:cs="Arial"/>
          <w:b/>
          <w:bCs/>
        </w:rPr>
      </w:pPr>
      <w:r>
        <w:rPr>
          <w:rFonts w:ascii="Arial" w:hAnsi="Arial" w:cs="Arial"/>
          <w:b/>
          <w:bCs/>
        </w:rPr>
        <w:t>ABOUT</w:t>
      </w:r>
      <w:r w:rsidR="0054578A" w:rsidRPr="00740F5C">
        <w:rPr>
          <w:rFonts w:ascii="Arial" w:hAnsi="Arial" w:cs="Arial"/>
          <w:b/>
          <w:bCs/>
        </w:rPr>
        <w:t xml:space="preserve"> THE JOB</w:t>
      </w:r>
    </w:p>
    <w:p w14:paraId="11F7FC2F" w14:textId="77777777" w:rsidR="00B35F8C" w:rsidRDefault="00B35F8C" w:rsidP="00361B1A">
      <w:pPr>
        <w:jc w:val="both"/>
        <w:rPr>
          <w:rFonts w:ascii="Arial" w:hAnsi="Arial" w:cs="Arial"/>
          <w:b/>
          <w:bCs/>
        </w:rPr>
      </w:pPr>
    </w:p>
    <w:p w14:paraId="29CC719D" w14:textId="29D9634E" w:rsidR="00C37A62" w:rsidRDefault="00B35F8C" w:rsidP="00B35F8C">
      <w:pPr>
        <w:spacing w:line="276" w:lineRule="auto"/>
        <w:jc w:val="both"/>
        <w:rPr>
          <w:rFonts w:ascii="Arial" w:hAnsi="Arial" w:cs="Arial"/>
          <w:b/>
          <w:lang w:val="en-GB"/>
        </w:rPr>
      </w:pPr>
      <w:r w:rsidRPr="00B35F8C">
        <w:rPr>
          <w:rFonts w:ascii="Arial" w:hAnsi="Arial" w:cs="Arial"/>
          <w:lang w:val="en-US"/>
        </w:rPr>
        <w:t>To provide strategic systems engineering leadership across complex acquisition projects, ensuring capability alignment, technical assurance, and lifecycle value through the application of advanced engineering and smart buyer principles.</w:t>
      </w:r>
    </w:p>
    <w:p w14:paraId="6AC7F90C" w14:textId="77777777" w:rsidR="00B35F8C" w:rsidRDefault="00B35F8C" w:rsidP="00C37A62">
      <w:pPr>
        <w:rPr>
          <w:rFonts w:ascii="Arial" w:hAnsi="Arial" w:cs="Arial"/>
          <w:b/>
          <w:lang w:val="en-GB"/>
        </w:rPr>
      </w:pPr>
    </w:p>
    <w:p w14:paraId="13039A07" w14:textId="146B1316" w:rsidR="00843AFD" w:rsidRDefault="00C37A62" w:rsidP="00C37A62">
      <w:pPr>
        <w:rPr>
          <w:rFonts w:ascii="Arial" w:hAnsi="Arial" w:cs="Arial"/>
          <w:b/>
          <w:lang w:val="en-GB"/>
        </w:rPr>
      </w:pPr>
      <w:r w:rsidRPr="003A63F7">
        <w:rPr>
          <w:rFonts w:ascii="Arial" w:hAnsi="Arial" w:cs="Arial"/>
          <w:b/>
          <w:lang w:val="en-GB"/>
        </w:rPr>
        <w:t>QUALIFICATION</w:t>
      </w:r>
    </w:p>
    <w:p w14:paraId="1F9498F7" w14:textId="77777777" w:rsidR="00B35F8C" w:rsidRPr="00B35F8C" w:rsidRDefault="00843AFD" w:rsidP="00B35F8C">
      <w:pPr>
        <w:rPr>
          <w:rFonts w:ascii="Arial" w:hAnsi="Arial" w:cs="Arial"/>
          <w:b/>
          <w:lang w:val="en-GB"/>
        </w:rPr>
      </w:pPr>
      <w:r w:rsidRPr="00B35F8C">
        <w:rPr>
          <w:rFonts w:ascii="Arial" w:hAnsi="Arial" w:cs="Arial"/>
          <w:b/>
          <w:lang w:val="en-GB"/>
        </w:rPr>
        <w:t xml:space="preserve">Essential:  </w:t>
      </w:r>
    </w:p>
    <w:p w14:paraId="7967F513" w14:textId="5A2A3087" w:rsidR="00843AFD" w:rsidRPr="00B35F8C" w:rsidRDefault="00843AFD" w:rsidP="000869C8">
      <w:pPr>
        <w:pStyle w:val="ListParagraph"/>
        <w:numPr>
          <w:ilvl w:val="0"/>
          <w:numId w:val="7"/>
        </w:numPr>
        <w:jc w:val="both"/>
        <w:rPr>
          <w:rFonts w:ascii="Arial" w:hAnsi="Arial" w:cs="Arial"/>
          <w:bCs/>
          <w:sz w:val="22"/>
          <w:szCs w:val="22"/>
          <w:lang w:val="en-GB"/>
        </w:rPr>
      </w:pPr>
      <w:r w:rsidRPr="00B35F8C">
        <w:rPr>
          <w:rFonts w:ascii="Arial" w:hAnsi="Arial" w:cs="Arial"/>
          <w:bCs/>
          <w:sz w:val="22"/>
          <w:szCs w:val="22"/>
          <w:lang w:val="en-GB"/>
        </w:rPr>
        <w:t>Grade 12</w:t>
      </w:r>
    </w:p>
    <w:p w14:paraId="4358BF53" w14:textId="2914D94E" w:rsidR="00B35F8C" w:rsidRDefault="00B35F8C" w:rsidP="000869C8">
      <w:pPr>
        <w:pStyle w:val="ListParagraph"/>
        <w:numPr>
          <w:ilvl w:val="0"/>
          <w:numId w:val="7"/>
        </w:numPr>
        <w:jc w:val="both"/>
        <w:rPr>
          <w:rFonts w:ascii="Arial" w:hAnsi="Arial" w:cs="Arial"/>
          <w:sz w:val="22"/>
          <w:szCs w:val="22"/>
        </w:rPr>
      </w:pPr>
      <w:r w:rsidRPr="00B35F8C">
        <w:rPr>
          <w:rFonts w:ascii="Arial" w:hAnsi="Arial" w:cs="Arial"/>
          <w:sz w:val="22"/>
          <w:szCs w:val="22"/>
        </w:rPr>
        <w:t xml:space="preserve">Bachelor’s Degree in Engineering (e.g., Mechanical, Electrical, Electronic, Industrial) or an equivalent qualification in a relevant technical or scientific discipline. </w:t>
      </w:r>
    </w:p>
    <w:p w14:paraId="04F3F154" w14:textId="1D7DD7E5" w:rsidR="00B35F8C" w:rsidRPr="00B35F8C" w:rsidRDefault="00B35F8C" w:rsidP="00B35F8C">
      <w:pPr>
        <w:jc w:val="both"/>
        <w:rPr>
          <w:rFonts w:ascii="Arial" w:eastAsia="Calibri" w:hAnsi="Arial" w:cs="Arial"/>
          <w:i/>
          <w:iCs/>
          <w:lang w:eastAsia="en-ZA"/>
        </w:rPr>
      </w:pPr>
    </w:p>
    <w:p w14:paraId="7AED0323" w14:textId="77777777" w:rsidR="002602DC" w:rsidRPr="002602DC" w:rsidRDefault="002602DC" w:rsidP="002602DC">
      <w:pPr>
        <w:rPr>
          <w:rFonts w:ascii="Arial" w:eastAsia="Calibri" w:hAnsi="Arial" w:cs="Arial"/>
          <w:b/>
          <w:bCs/>
          <w:lang w:val="en-GB" w:eastAsia="en-ZA"/>
        </w:rPr>
      </w:pPr>
      <w:r w:rsidRPr="002602DC">
        <w:rPr>
          <w:rFonts w:ascii="Arial" w:eastAsia="Calibri" w:hAnsi="Arial" w:cs="Arial"/>
          <w:b/>
          <w:bCs/>
          <w:lang w:val="en-GB" w:eastAsia="en-ZA"/>
        </w:rPr>
        <w:t>TECHNICAL / LEGAL CERTIFICATION / PROFESSIONAL REGISTRATION</w:t>
      </w:r>
    </w:p>
    <w:p w14:paraId="719E58B0" w14:textId="77777777" w:rsidR="002602DC" w:rsidRPr="002602DC" w:rsidRDefault="002602DC" w:rsidP="000869C8">
      <w:pPr>
        <w:numPr>
          <w:ilvl w:val="0"/>
          <w:numId w:val="9"/>
        </w:numPr>
        <w:rPr>
          <w:rFonts w:ascii="Arial" w:eastAsia="Calibri" w:hAnsi="Arial" w:cs="Arial"/>
          <w:lang w:eastAsia="en-ZA"/>
        </w:rPr>
      </w:pPr>
      <w:r w:rsidRPr="002602DC">
        <w:rPr>
          <w:rFonts w:ascii="Arial" w:eastAsia="Calibri" w:hAnsi="Arial" w:cs="Arial"/>
          <w:lang w:eastAsia="en-ZA"/>
        </w:rPr>
        <w:t>ECSA Registration (Essential)</w:t>
      </w:r>
    </w:p>
    <w:p w14:paraId="62BD4542" w14:textId="77777777" w:rsidR="002602DC" w:rsidRPr="002602DC" w:rsidRDefault="002602DC" w:rsidP="000869C8">
      <w:pPr>
        <w:numPr>
          <w:ilvl w:val="0"/>
          <w:numId w:val="9"/>
        </w:numPr>
        <w:rPr>
          <w:rFonts w:ascii="Arial" w:eastAsia="Calibri" w:hAnsi="Arial" w:cs="Arial"/>
          <w:lang w:eastAsia="en-ZA"/>
        </w:rPr>
      </w:pPr>
      <w:r w:rsidRPr="002602DC">
        <w:rPr>
          <w:rFonts w:ascii="Arial" w:eastAsia="Calibri" w:hAnsi="Arial" w:cs="Arial"/>
          <w:lang w:eastAsia="en-ZA"/>
        </w:rPr>
        <w:t>INCOSE CSEP (Essential)</w:t>
      </w:r>
    </w:p>
    <w:p w14:paraId="380FC67C" w14:textId="77777777" w:rsidR="00B35F8C" w:rsidRDefault="00B35F8C" w:rsidP="00843AFD">
      <w:pPr>
        <w:rPr>
          <w:rFonts w:ascii="Arial" w:hAnsi="Arial" w:cs="Arial"/>
          <w:b/>
          <w:bCs/>
        </w:rPr>
      </w:pPr>
    </w:p>
    <w:p w14:paraId="6C181E88" w14:textId="1A43DA06" w:rsidR="00843AFD" w:rsidRDefault="00843AFD" w:rsidP="00843AFD">
      <w:pPr>
        <w:rPr>
          <w:rFonts w:ascii="Arial" w:hAnsi="Arial" w:cs="Arial"/>
          <w:b/>
          <w:bCs/>
        </w:rPr>
      </w:pPr>
      <w:r w:rsidRPr="00843AFD">
        <w:rPr>
          <w:rFonts w:ascii="Arial" w:hAnsi="Arial" w:cs="Arial"/>
          <w:b/>
          <w:bCs/>
        </w:rPr>
        <w:t>EXPERIENCE</w:t>
      </w:r>
    </w:p>
    <w:p w14:paraId="61237CCB" w14:textId="77777777" w:rsidR="00B35F8C" w:rsidRDefault="00843AFD" w:rsidP="00843AFD">
      <w:pPr>
        <w:tabs>
          <w:tab w:val="center" w:pos="567"/>
          <w:tab w:val="center" w:pos="709"/>
          <w:tab w:val="center" w:pos="1843"/>
          <w:tab w:val="center" w:pos="3401"/>
        </w:tabs>
        <w:rPr>
          <w:rFonts w:ascii="Arial" w:hAnsi="Arial" w:cs="Arial"/>
        </w:rPr>
      </w:pPr>
      <w:r w:rsidRPr="00B35F8C">
        <w:rPr>
          <w:rFonts w:ascii="Arial" w:hAnsi="Arial" w:cs="Arial"/>
          <w:b/>
          <w:bCs/>
        </w:rPr>
        <w:t>Essential:</w:t>
      </w:r>
      <w:r>
        <w:rPr>
          <w:rFonts w:ascii="Arial" w:hAnsi="Arial" w:cs="Arial"/>
        </w:rPr>
        <w:t xml:space="preserve"> </w:t>
      </w:r>
    </w:p>
    <w:p w14:paraId="245AA69D" w14:textId="34A963FB" w:rsidR="00B35F8C" w:rsidRPr="002602DC" w:rsidRDefault="002602DC" w:rsidP="000869C8">
      <w:pPr>
        <w:pStyle w:val="ListParagraph"/>
        <w:numPr>
          <w:ilvl w:val="0"/>
          <w:numId w:val="8"/>
        </w:numPr>
        <w:rPr>
          <w:rFonts w:ascii="Arial" w:hAnsi="Arial" w:cs="Arial"/>
          <w:sz w:val="22"/>
          <w:szCs w:val="22"/>
        </w:rPr>
      </w:pPr>
      <w:r w:rsidRPr="002602DC">
        <w:rPr>
          <w:rFonts w:ascii="Arial" w:hAnsi="Arial" w:cs="Arial"/>
          <w:sz w:val="22"/>
          <w:szCs w:val="22"/>
        </w:rPr>
        <w:t>Minimum</w:t>
      </w:r>
      <w:r w:rsidR="00B35F8C" w:rsidRPr="002602DC">
        <w:rPr>
          <w:rFonts w:ascii="Arial" w:hAnsi="Arial" w:cs="Arial"/>
          <w:sz w:val="22"/>
          <w:szCs w:val="22"/>
        </w:rPr>
        <w:t xml:space="preserve"> </w:t>
      </w:r>
      <w:r>
        <w:rPr>
          <w:rFonts w:ascii="Arial" w:hAnsi="Arial" w:cs="Arial"/>
          <w:sz w:val="22"/>
          <w:szCs w:val="22"/>
        </w:rPr>
        <w:t xml:space="preserve">8 </w:t>
      </w:r>
      <w:r w:rsidR="00B35F8C" w:rsidRPr="002602DC">
        <w:rPr>
          <w:rFonts w:ascii="Arial" w:hAnsi="Arial" w:cs="Arial"/>
          <w:sz w:val="22"/>
          <w:szCs w:val="22"/>
        </w:rPr>
        <w:t>years</w:t>
      </w:r>
      <w:r>
        <w:rPr>
          <w:rFonts w:ascii="Arial" w:hAnsi="Arial" w:cs="Arial"/>
          <w:sz w:val="22"/>
          <w:szCs w:val="22"/>
        </w:rPr>
        <w:t xml:space="preserve">’ </w:t>
      </w:r>
      <w:r w:rsidR="00B35F8C" w:rsidRPr="002602DC">
        <w:rPr>
          <w:rFonts w:ascii="Arial" w:hAnsi="Arial" w:cs="Arial"/>
          <w:sz w:val="22"/>
          <w:szCs w:val="22"/>
        </w:rPr>
        <w:t xml:space="preserve">experience in a systems engineering, engineering management, or technical acquisition role, preferably within a </w:t>
      </w:r>
      <w:proofErr w:type="spellStart"/>
      <w:r w:rsidR="00B35F8C" w:rsidRPr="002602DC">
        <w:rPr>
          <w:rFonts w:ascii="Arial" w:hAnsi="Arial" w:cs="Arial"/>
          <w:sz w:val="22"/>
          <w:szCs w:val="22"/>
        </w:rPr>
        <w:t>defense</w:t>
      </w:r>
      <w:proofErr w:type="spellEnd"/>
      <w:r w:rsidR="00B35F8C" w:rsidRPr="002602DC">
        <w:rPr>
          <w:rFonts w:ascii="Arial" w:hAnsi="Arial" w:cs="Arial"/>
          <w:sz w:val="22"/>
          <w:szCs w:val="22"/>
        </w:rPr>
        <w:t xml:space="preserve">, or complex government procurement environment, </w:t>
      </w:r>
      <w:r w:rsidRPr="002602DC">
        <w:rPr>
          <w:rFonts w:ascii="Arial" w:hAnsi="Arial" w:cs="Arial"/>
          <w:sz w:val="22"/>
          <w:szCs w:val="22"/>
        </w:rPr>
        <w:t>proven leadership of complex engineering projects.</w:t>
      </w:r>
    </w:p>
    <w:p w14:paraId="44B68E5B" w14:textId="77777777" w:rsidR="00B35F8C" w:rsidRPr="00B35F8C" w:rsidRDefault="00B35F8C" w:rsidP="000869C8">
      <w:pPr>
        <w:pStyle w:val="ListParagraph"/>
        <w:numPr>
          <w:ilvl w:val="0"/>
          <w:numId w:val="8"/>
        </w:numPr>
        <w:jc w:val="both"/>
        <w:rPr>
          <w:rFonts w:ascii="Arial" w:hAnsi="Arial" w:cs="Arial"/>
          <w:sz w:val="22"/>
          <w:szCs w:val="22"/>
        </w:rPr>
      </w:pPr>
      <w:r w:rsidRPr="00B35F8C">
        <w:rPr>
          <w:rFonts w:ascii="Arial" w:hAnsi="Arial" w:cs="Arial"/>
          <w:sz w:val="22"/>
          <w:szCs w:val="22"/>
        </w:rPr>
        <w:t>Demonstrated leadership in contract management and negotiation, with the ability to lead complex contract negotiations across all phases of the acquisition lifecycle and ensure alignment with strategic objectives.</w:t>
      </w:r>
    </w:p>
    <w:p w14:paraId="2A80112D" w14:textId="77777777" w:rsidR="00B35F8C" w:rsidRPr="00B35F8C" w:rsidRDefault="00B35F8C" w:rsidP="000869C8">
      <w:pPr>
        <w:pStyle w:val="ListParagraph"/>
        <w:numPr>
          <w:ilvl w:val="0"/>
          <w:numId w:val="8"/>
        </w:numPr>
        <w:jc w:val="both"/>
        <w:rPr>
          <w:rFonts w:ascii="Arial" w:hAnsi="Arial" w:cs="Arial"/>
          <w:sz w:val="22"/>
          <w:szCs w:val="22"/>
        </w:rPr>
      </w:pPr>
      <w:r w:rsidRPr="00B35F8C">
        <w:rPr>
          <w:rFonts w:ascii="Arial" w:hAnsi="Arial" w:cs="Arial"/>
          <w:sz w:val="22"/>
          <w:szCs w:val="22"/>
        </w:rPr>
        <w:t>Extensive experience across the systems engineering lifecycle, including requirements definition, specification development, system integration, verification, and lifecycle cost considerations.</w:t>
      </w:r>
    </w:p>
    <w:p w14:paraId="0E1FB634" w14:textId="77777777" w:rsidR="00B35F8C" w:rsidRPr="00B35F8C" w:rsidRDefault="00B35F8C" w:rsidP="000869C8">
      <w:pPr>
        <w:pStyle w:val="ListParagraph"/>
        <w:numPr>
          <w:ilvl w:val="0"/>
          <w:numId w:val="8"/>
        </w:numPr>
        <w:jc w:val="both"/>
        <w:rPr>
          <w:rFonts w:ascii="Arial" w:hAnsi="Arial" w:cs="Arial"/>
          <w:sz w:val="22"/>
          <w:szCs w:val="22"/>
        </w:rPr>
      </w:pPr>
      <w:r w:rsidRPr="00B35F8C">
        <w:rPr>
          <w:rFonts w:ascii="Arial" w:hAnsi="Arial" w:cs="Arial"/>
          <w:sz w:val="22"/>
          <w:szCs w:val="22"/>
        </w:rPr>
        <w:t>Proven involvement in high-value acquisition or procurement processes, including drafting technical specifications, leading bid evaluations, and overseeing contract implementation.</w:t>
      </w:r>
    </w:p>
    <w:p w14:paraId="719DADF9" w14:textId="77777777" w:rsidR="00B35F8C" w:rsidRPr="00B35F8C" w:rsidRDefault="00B35F8C" w:rsidP="000869C8">
      <w:pPr>
        <w:pStyle w:val="ListParagraph"/>
        <w:numPr>
          <w:ilvl w:val="0"/>
          <w:numId w:val="8"/>
        </w:numPr>
        <w:jc w:val="both"/>
        <w:rPr>
          <w:rFonts w:ascii="Arial" w:hAnsi="Arial" w:cs="Arial"/>
          <w:sz w:val="22"/>
          <w:szCs w:val="22"/>
        </w:rPr>
      </w:pPr>
      <w:r w:rsidRPr="00B35F8C">
        <w:rPr>
          <w:rFonts w:ascii="Arial" w:hAnsi="Arial" w:cs="Arial"/>
          <w:sz w:val="22"/>
          <w:szCs w:val="22"/>
        </w:rPr>
        <w:t>Expert in applying engineering policies, standards, and governance frameworks to drive compliance, project efficiency, and technical excellence.</w:t>
      </w:r>
    </w:p>
    <w:p w14:paraId="4928156E" w14:textId="77777777" w:rsidR="00B35F8C" w:rsidRPr="00B35F8C" w:rsidRDefault="00B35F8C" w:rsidP="000869C8">
      <w:pPr>
        <w:pStyle w:val="ListParagraph"/>
        <w:numPr>
          <w:ilvl w:val="0"/>
          <w:numId w:val="8"/>
        </w:numPr>
        <w:jc w:val="both"/>
        <w:rPr>
          <w:rFonts w:ascii="Arial" w:hAnsi="Arial" w:cs="Arial"/>
          <w:sz w:val="22"/>
          <w:szCs w:val="22"/>
        </w:rPr>
      </w:pPr>
      <w:r w:rsidRPr="00B35F8C">
        <w:rPr>
          <w:rFonts w:ascii="Arial" w:hAnsi="Arial" w:cs="Arial"/>
          <w:sz w:val="22"/>
          <w:szCs w:val="22"/>
        </w:rPr>
        <w:t>In-depth understanding of capital project environments, Smart Buyer principles, and public procurement frameworks, with experience providing strategic guidance or training in these areas.</w:t>
      </w:r>
    </w:p>
    <w:p w14:paraId="21CAED10" w14:textId="77777777" w:rsidR="00B35F8C" w:rsidRPr="00B35F8C" w:rsidRDefault="00B35F8C" w:rsidP="000869C8">
      <w:pPr>
        <w:pStyle w:val="ListParagraph"/>
        <w:numPr>
          <w:ilvl w:val="0"/>
          <w:numId w:val="8"/>
        </w:numPr>
        <w:jc w:val="both"/>
        <w:rPr>
          <w:rFonts w:ascii="Arial" w:hAnsi="Arial" w:cs="Arial"/>
          <w:sz w:val="22"/>
          <w:szCs w:val="22"/>
        </w:rPr>
      </w:pPr>
      <w:r w:rsidRPr="00B35F8C">
        <w:rPr>
          <w:rFonts w:ascii="Arial" w:hAnsi="Arial" w:cs="Arial"/>
          <w:sz w:val="22"/>
          <w:szCs w:val="22"/>
        </w:rPr>
        <w:t>Prior collaboration with SANDF, Armscor, or equivalent stakeholders, demonstrating the ability to navigate complex organizational and defence environments.</w:t>
      </w:r>
    </w:p>
    <w:p w14:paraId="00F538F6" w14:textId="77777777" w:rsidR="00B35F8C" w:rsidRPr="00B35F8C" w:rsidRDefault="00B35F8C" w:rsidP="000869C8">
      <w:pPr>
        <w:pStyle w:val="ListParagraph"/>
        <w:numPr>
          <w:ilvl w:val="0"/>
          <w:numId w:val="8"/>
        </w:numPr>
        <w:jc w:val="both"/>
        <w:rPr>
          <w:rFonts w:ascii="Arial" w:hAnsi="Arial" w:cs="Arial"/>
          <w:sz w:val="22"/>
          <w:szCs w:val="22"/>
        </w:rPr>
      </w:pPr>
      <w:r w:rsidRPr="00B35F8C">
        <w:rPr>
          <w:rFonts w:ascii="Arial" w:hAnsi="Arial" w:cs="Arial"/>
          <w:sz w:val="22"/>
          <w:szCs w:val="22"/>
        </w:rPr>
        <w:t>Strong capability in supporting technical assessments, identifying and mitigating risks, and verifying critical project deliverables.</w:t>
      </w:r>
    </w:p>
    <w:p w14:paraId="5A96E70B" w14:textId="77777777" w:rsidR="00B35F8C" w:rsidRPr="00B35F8C" w:rsidRDefault="00B35F8C" w:rsidP="000869C8">
      <w:pPr>
        <w:pStyle w:val="ListParagraph"/>
        <w:numPr>
          <w:ilvl w:val="0"/>
          <w:numId w:val="8"/>
        </w:numPr>
        <w:jc w:val="both"/>
        <w:rPr>
          <w:rFonts w:ascii="Arial" w:hAnsi="Arial" w:cs="Arial"/>
          <w:sz w:val="22"/>
          <w:szCs w:val="22"/>
        </w:rPr>
      </w:pPr>
      <w:r w:rsidRPr="00B35F8C">
        <w:rPr>
          <w:rFonts w:ascii="Arial" w:hAnsi="Arial" w:cs="Arial"/>
          <w:sz w:val="22"/>
          <w:szCs w:val="22"/>
        </w:rPr>
        <w:t xml:space="preserve">Knowledge and practical application of international systems engineering and quality standards (e.g., ISO 15288, INCOSE SE Handbook) to enhance engineering rigor and assurance. </w:t>
      </w:r>
    </w:p>
    <w:p w14:paraId="041072D0" w14:textId="30BFD1BA" w:rsidR="00D616A1" w:rsidRDefault="00D616A1" w:rsidP="00AA7F10">
      <w:pPr>
        <w:jc w:val="both"/>
        <w:rPr>
          <w:rFonts w:ascii="Arial" w:hAnsi="Arial" w:cs="Arial"/>
          <w:b/>
          <w:bCs/>
        </w:rPr>
      </w:pPr>
    </w:p>
    <w:p w14:paraId="49DD9E51" w14:textId="560F69C8" w:rsidR="00B35F8C" w:rsidRDefault="00B35F8C" w:rsidP="00AA7F10">
      <w:pPr>
        <w:jc w:val="both"/>
        <w:rPr>
          <w:rFonts w:ascii="Arial" w:hAnsi="Arial" w:cs="Arial"/>
          <w:b/>
          <w:bCs/>
        </w:rPr>
      </w:pPr>
    </w:p>
    <w:p w14:paraId="285A0E20" w14:textId="77777777" w:rsidR="00B35F8C" w:rsidRPr="00740F5C" w:rsidRDefault="00B35F8C" w:rsidP="00AA7F10">
      <w:pPr>
        <w:jc w:val="both"/>
        <w:rPr>
          <w:rFonts w:ascii="Arial" w:hAnsi="Arial" w:cs="Arial"/>
          <w:b/>
          <w:bCs/>
        </w:rPr>
      </w:pPr>
    </w:p>
    <w:p w14:paraId="72CDC719" w14:textId="5BE4F89E" w:rsidR="00020491" w:rsidRDefault="00AA7F10" w:rsidP="00B7004A">
      <w:pPr>
        <w:jc w:val="both"/>
        <w:rPr>
          <w:rFonts w:ascii="Arial" w:hAnsi="Arial" w:cs="Arial"/>
          <w:b/>
          <w:bCs/>
        </w:rPr>
      </w:pPr>
      <w:r w:rsidRPr="00740F5C">
        <w:rPr>
          <w:rFonts w:ascii="Arial" w:hAnsi="Arial" w:cs="Arial"/>
          <w:b/>
          <w:bCs/>
        </w:rPr>
        <w:t>CRITICAL PERFORMANCE AREAS</w:t>
      </w:r>
      <w:r w:rsidR="00F02E30">
        <w:rPr>
          <w:rFonts w:ascii="Arial" w:hAnsi="Arial" w:cs="Arial"/>
          <w:b/>
          <w:bCs/>
        </w:rPr>
        <w:t xml:space="preserve"> </w:t>
      </w:r>
    </w:p>
    <w:p w14:paraId="2EF5E68D" w14:textId="21E45EBD" w:rsidR="00843AFD" w:rsidRDefault="00843AFD" w:rsidP="00B7004A">
      <w:pPr>
        <w:jc w:val="both"/>
        <w:rPr>
          <w:rFonts w:ascii="Arial" w:hAnsi="Arial" w:cs="Arial"/>
        </w:rPr>
      </w:pPr>
      <w:r w:rsidRPr="00843AFD">
        <w:rPr>
          <w:rFonts w:ascii="Arial" w:hAnsi="Arial" w:cs="Arial"/>
        </w:rPr>
        <w:t>The incumbent will be responsible to perform the following functions but not limited to;</w:t>
      </w:r>
    </w:p>
    <w:p w14:paraId="51134EC1" w14:textId="77777777" w:rsidR="00843AFD" w:rsidRDefault="00843AFD" w:rsidP="00B7004A">
      <w:pPr>
        <w:jc w:val="both"/>
        <w:rPr>
          <w:rFonts w:ascii="Arial" w:hAnsi="Arial" w:cs="Arial"/>
        </w:rPr>
      </w:pPr>
    </w:p>
    <w:p w14:paraId="078CDDD5" w14:textId="77777777" w:rsidR="00B35F8C" w:rsidRPr="00B35F8C" w:rsidRDefault="00B35F8C" w:rsidP="00B35F8C">
      <w:pPr>
        <w:spacing w:line="276" w:lineRule="auto"/>
        <w:jc w:val="both"/>
        <w:rPr>
          <w:rFonts w:ascii="Arial" w:hAnsi="Arial" w:cs="Arial"/>
          <w:b/>
          <w:bCs/>
        </w:rPr>
      </w:pPr>
      <w:r w:rsidRPr="00B35F8C">
        <w:rPr>
          <w:rFonts w:ascii="Arial" w:hAnsi="Arial" w:cs="Arial"/>
          <w:b/>
          <w:bCs/>
        </w:rPr>
        <w:t>Provide technical guidance on the application of systems engineering management and governance processes for more complex projects, ensuring fit-for-purpose acquisition outcomes, enhanced capability delivery, and compliance with the Smart Buyer principle</w:t>
      </w:r>
    </w:p>
    <w:p w14:paraId="4226E814" w14:textId="77777777" w:rsidR="00B35F8C" w:rsidRPr="00B35F8C" w:rsidRDefault="00B35F8C" w:rsidP="000869C8">
      <w:pPr>
        <w:pStyle w:val="ListParagraph"/>
        <w:numPr>
          <w:ilvl w:val="0"/>
          <w:numId w:val="1"/>
        </w:numPr>
        <w:spacing w:line="276" w:lineRule="auto"/>
        <w:jc w:val="both"/>
        <w:rPr>
          <w:rFonts w:ascii="Arial" w:hAnsi="Arial" w:cs="Arial"/>
          <w:sz w:val="22"/>
          <w:szCs w:val="22"/>
        </w:rPr>
      </w:pPr>
      <w:r w:rsidRPr="00B35F8C">
        <w:rPr>
          <w:rFonts w:ascii="Arial" w:hAnsi="Arial" w:cs="Arial"/>
          <w:sz w:val="22"/>
          <w:szCs w:val="22"/>
        </w:rPr>
        <w:t>Provide technical guidance on the application of systems engineering management and governance processes for more complex projects, ensuring fit-for-purpose acquisition outcomes, enhanced capability delivery, and compliance with the Smart Buyer principle.</w:t>
      </w:r>
    </w:p>
    <w:p w14:paraId="69A22DD7" w14:textId="77777777" w:rsidR="00B35F8C" w:rsidRPr="00B35F8C" w:rsidRDefault="00B35F8C" w:rsidP="000869C8">
      <w:pPr>
        <w:pStyle w:val="ListParagraph"/>
        <w:numPr>
          <w:ilvl w:val="0"/>
          <w:numId w:val="1"/>
        </w:numPr>
        <w:spacing w:line="276" w:lineRule="auto"/>
        <w:jc w:val="both"/>
        <w:rPr>
          <w:rFonts w:ascii="Arial" w:hAnsi="Arial" w:cs="Arial"/>
          <w:sz w:val="22"/>
          <w:szCs w:val="22"/>
        </w:rPr>
      </w:pPr>
      <w:r w:rsidRPr="00B35F8C">
        <w:rPr>
          <w:rFonts w:ascii="Arial" w:hAnsi="Arial" w:cs="Arial"/>
          <w:sz w:val="22"/>
          <w:szCs w:val="22"/>
        </w:rPr>
        <w:t>Guide and tailor systems engineering management frameworks across all acquisition phases, particularly for high-complexity initiative, to enhance through-life support, ensure consistency of application, and maintain robust project control.</w:t>
      </w:r>
    </w:p>
    <w:p w14:paraId="0DC58480" w14:textId="77777777" w:rsidR="00B35F8C" w:rsidRPr="00B35F8C" w:rsidRDefault="00B35F8C" w:rsidP="000869C8">
      <w:pPr>
        <w:pStyle w:val="ListParagraph"/>
        <w:numPr>
          <w:ilvl w:val="0"/>
          <w:numId w:val="1"/>
        </w:numPr>
        <w:spacing w:line="276" w:lineRule="auto"/>
        <w:jc w:val="both"/>
        <w:rPr>
          <w:rFonts w:ascii="Arial" w:hAnsi="Arial" w:cs="Arial"/>
          <w:sz w:val="22"/>
          <w:szCs w:val="22"/>
        </w:rPr>
      </w:pPr>
      <w:r w:rsidRPr="00B35F8C">
        <w:rPr>
          <w:rFonts w:ascii="Arial" w:hAnsi="Arial" w:cs="Arial"/>
          <w:sz w:val="22"/>
          <w:szCs w:val="22"/>
        </w:rPr>
        <w:t>Ensure engineering and acquisition processes support effective requirement definition, traceability, verification, and lifecycle cost-effectiveness, even in challenging and multi-faceted project environments.</w:t>
      </w:r>
    </w:p>
    <w:p w14:paraId="6D78CB7C" w14:textId="77777777" w:rsidR="00B35F8C" w:rsidRPr="00B35F8C" w:rsidRDefault="00B35F8C" w:rsidP="000869C8">
      <w:pPr>
        <w:pStyle w:val="ListParagraph"/>
        <w:numPr>
          <w:ilvl w:val="0"/>
          <w:numId w:val="1"/>
        </w:numPr>
        <w:spacing w:line="276" w:lineRule="auto"/>
        <w:jc w:val="both"/>
        <w:rPr>
          <w:rFonts w:ascii="Arial" w:hAnsi="Arial" w:cs="Arial"/>
          <w:sz w:val="22"/>
          <w:szCs w:val="22"/>
        </w:rPr>
      </w:pPr>
      <w:r w:rsidRPr="00B35F8C">
        <w:rPr>
          <w:rFonts w:ascii="Arial" w:hAnsi="Arial" w:cs="Arial"/>
          <w:sz w:val="22"/>
          <w:szCs w:val="22"/>
        </w:rPr>
        <w:t>Align systems engineering efforts with contractual, operational, and risk-based considerations to drive success in technically demanding projects.</w:t>
      </w:r>
    </w:p>
    <w:p w14:paraId="4E233B99" w14:textId="77777777" w:rsidR="00B35F8C" w:rsidRPr="00B35F8C" w:rsidRDefault="00B35F8C" w:rsidP="000869C8">
      <w:pPr>
        <w:pStyle w:val="ListParagraph"/>
        <w:numPr>
          <w:ilvl w:val="0"/>
          <w:numId w:val="1"/>
        </w:numPr>
        <w:spacing w:line="276" w:lineRule="auto"/>
        <w:jc w:val="both"/>
        <w:rPr>
          <w:rFonts w:ascii="Arial" w:hAnsi="Arial" w:cs="Arial"/>
          <w:sz w:val="22"/>
          <w:szCs w:val="22"/>
        </w:rPr>
      </w:pPr>
      <w:r w:rsidRPr="00B35F8C">
        <w:rPr>
          <w:rFonts w:ascii="Arial" w:hAnsi="Arial" w:cs="Arial"/>
          <w:sz w:val="22"/>
          <w:szCs w:val="22"/>
        </w:rPr>
        <w:t>Facilitate, prepare, and review Project and Engineering Plans, Risk Management Plans, and Requirement Specifications, calibrated to the complexity, context, and risk profile of the project.</w:t>
      </w:r>
    </w:p>
    <w:p w14:paraId="38B2379F" w14:textId="77777777" w:rsidR="00B35F8C" w:rsidRPr="00B35F8C" w:rsidRDefault="00B35F8C" w:rsidP="000869C8">
      <w:pPr>
        <w:pStyle w:val="ListParagraph"/>
        <w:numPr>
          <w:ilvl w:val="0"/>
          <w:numId w:val="1"/>
        </w:numPr>
        <w:spacing w:line="276" w:lineRule="auto"/>
        <w:jc w:val="both"/>
        <w:rPr>
          <w:rFonts w:ascii="Arial" w:hAnsi="Arial" w:cs="Arial"/>
          <w:sz w:val="22"/>
          <w:szCs w:val="22"/>
        </w:rPr>
      </w:pPr>
      <w:r w:rsidRPr="00B35F8C">
        <w:rPr>
          <w:rFonts w:ascii="Arial" w:hAnsi="Arial" w:cs="Arial"/>
          <w:sz w:val="22"/>
          <w:szCs w:val="22"/>
        </w:rPr>
        <w:t>Promote the application and integration of Smart Buyer policies and industry best practices with acquisition governance processes across acquisition functions to optimize business efficiency and effectiveness in complex program delivery.</w:t>
      </w:r>
    </w:p>
    <w:p w14:paraId="280C9CD7" w14:textId="77777777" w:rsidR="00B35F8C" w:rsidRPr="00B35F8C" w:rsidRDefault="00B35F8C" w:rsidP="00B35F8C">
      <w:pPr>
        <w:spacing w:line="276" w:lineRule="auto"/>
        <w:rPr>
          <w:rFonts w:ascii="Arial" w:hAnsi="Arial" w:cs="Arial"/>
        </w:rPr>
      </w:pPr>
    </w:p>
    <w:p w14:paraId="06E9A1ED" w14:textId="77777777" w:rsidR="00B35F8C" w:rsidRPr="00B35F8C" w:rsidRDefault="00B35F8C" w:rsidP="00B35F8C">
      <w:pPr>
        <w:spacing w:line="276" w:lineRule="auto"/>
        <w:jc w:val="both"/>
        <w:rPr>
          <w:rFonts w:ascii="Arial" w:hAnsi="Arial" w:cs="Arial"/>
          <w:b/>
          <w:bCs/>
        </w:rPr>
      </w:pPr>
      <w:r w:rsidRPr="00B35F8C">
        <w:rPr>
          <w:rFonts w:ascii="Arial" w:hAnsi="Arial" w:cs="Arial"/>
          <w:b/>
          <w:bCs/>
        </w:rPr>
        <w:t>Advise on acquisition strategies and technical requirements development for more complex projects to ensure client alignment, supplier engagement, rigorous technical due diligence, and value-for-money acquisition outcomes</w:t>
      </w:r>
    </w:p>
    <w:p w14:paraId="4BF5AEF4" w14:textId="77777777" w:rsidR="00B35F8C" w:rsidRPr="00B35F8C" w:rsidRDefault="00B35F8C" w:rsidP="000869C8">
      <w:pPr>
        <w:pStyle w:val="ListParagraph"/>
        <w:numPr>
          <w:ilvl w:val="0"/>
          <w:numId w:val="2"/>
        </w:numPr>
        <w:spacing w:line="276" w:lineRule="auto"/>
        <w:jc w:val="both"/>
        <w:rPr>
          <w:rFonts w:ascii="Arial" w:hAnsi="Arial" w:cs="Arial"/>
          <w:sz w:val="22"/>
          <w:szCs w:val="22"/>
        </w:rPr>
      </w:pPr>
      <w:r w:rsidRPr="00B35F8C">
        <w:rPr>
          <w:rFonts w:ascii="Arial" w:hAnsi="Arial" w:cs="Arial"/>
          <w:sz w:val="22"/>
          <w:szCs w:val="22"/>
        </w:rPr>
        <w:t>Provide technical guidance in developing requirement specifications and contracting requirements to minimise ambiguities, accelerate approvals, and reduce costly rework, while ensuring alignment with user needs and project complexity.</w:t>
      </w:r>
    </w:p>
    <w:p w14:paraId="2B45A6C6" w14:textId="77777777" w:rsidR="00B35F8C" w:rsidRPr="00B35F8C" w:rsidRDefault="00B35F8C" w:rsidP="000869C8">
      <w:pPr>
        <w:pStyle w:val="ListParagraph"/>
        <w:numPr>
          <w:ilvl w:val="0"/>
          <w:numId w:val="2"/>
        </w:numPr>
        <w:spacing w:line="276" w:lineRule="auto"/>
        <w:jc w:val="both"/>
        <w:rPr>
          <w:rFonts w:ascii="Arial" w:hAnsi="Arial" w:cs="Arial"/>
          <w:sz w:val="22"/>
          <w:szCs w:val="22"/>
        </w:rPr>
      </w:pPr>
      <w:r w:rsidRPr="00B35F8C">
        <w:rPr>
          <w:rFonts w:ascii="Arial" w:hAnsi="Arial" w:cs="Arial"/>
          <w:sz w:val="22"/>
          <w:szCs w:val="22"/>
        </w:rPr>
        <w:t>Lead technical evaluations and supplier due diligence for high-complexity acquisitions to validate vendor capabilities, streamline procurement processes, and enforce compliance with acquisition standards.</w:t>
      </w:r>
    </w:p>
    <w:p w14:paraId="2A1BD57E" w14:textId="77777777" w:rsidR="00B35F8C" w:rsidRPr="00B35F8C" w:rsidRDefault="00B35F8C" w:rsidP="000869C8">
      <w:pPr>
        <w:pStyle w:val="ListParagraph"/>
        <w:numPr>
          <w:ilvl w:val="0"/>
          <w:numId w:val="2"/>
        </w:numPr>
        <w:spacing w:line="276" w:lineRule="auto"/>
        <w:jc w:val="both"/>
        <w:rPr>
          <w:rFonts w:ascii="Arial" w:hAnsi="Arial" w:cs="Arial"/>
          <w:sz w:val="22"/>
          <w:szCs w:val="22"/>
        </w:rPr>
      </w:pPr>
      <w:r w:rsidRPr="00B35F8C">
        <w:rPr>
          <w:rFonts w:ascii="Arial" w:hAnsi="Arial" w:cs="Arial"/>
          <w:sz w:val="22"/>
          <w:szCs w:val="22"/>
        </w:rPr>
        <w:t>Advise on contract negotiations by defining technical scope and measurable deliverables, preventing scope creep and enabling on-time, on-budget execution of complex programs.</w:t>
      </w:r>
    </w:p>
    <w:p w14:paraId="08DA1B44" w14:textId="77777777" w:rsidR="00B35F8C" w:rsidRPr="00B35F8C" w:rsidRDefault="00B35F8C" w:rsidP="000869C8">
      <w:pPr>
        <w:pStyle w:val="ListParagraph"/>
        <w:numPr>
          <w:ilvl w:val="0"/>
          <w:numId w:val="2"/>
        </w:numPr>
        <w:spacing w:line="276" w:lineRule="auto"/>
        <w:jc w:val="both"/>
        <w:rPr>
          <w:rFonts w:ascii="Arial" w:hAnsi="Arial" w:cs="Arial"/>
          <w:sz w:val="22"/>
          <w:szCs w:val="22"/>
        </w:rPr>
      </w:pPr>
      <w:r w:rsidRPr="00B35F8C">
        <w:rPr>
          <w:rFonts w:ascii="Arial" w:hAnsi="Arial" w:cs="Arial"/>
          <w:sz w:val="22"/>
          <w:szCs w:val="22"/>
        </w:rPr>
        <w:t>Ensure adherence to defence and systems engineering standards to maintain audit readiness and minimise compliance-related disruptions in demanding project environments.</w:t>
      </w:r>
    </w:p>
    <w:p w14:paraId="3254C709" w14:textId="3C123A1C" w:rsidR="00B35F8C" w:rsidRDefault="00B35F8C" w:rsidP="000869C8">
      <w:pPr>
        <w:pStyle w:val="ListParagraph"/>
        <w:numPr>
          <w:ilvl w:val="0"/>
          <w:numId w:val="2"/>
        </w:numPr>
        <w:spacing w:line="276" w:lineRule="auto"/>
        <w:jc w:val="both"/>
        <w:rPr>
          <w:rFonts w:ascii="Arial" w:hAnsi="Arial" w:cs="Arial"/>
        </w:rPr>
      </w:pPr>
      <w:r w:rsidRPr="00B35F8C">
        <w:rPr>
          <w:rFonts w:ascii="Arial" w:hAnsi="Arial" w:cs="Arial"/>
          <w:sz w:val="22"/>
          <w:szCs w:val="22"/>
        </w:rPr>
        <w:t>Conduct risk assessments and scenario planning tailored to complex acquisition contexts, proactively identifying and mitigating risks to ensure resilient project pathways</w:t>
      </w:r>
      <w:r w:rsidRPr="00B35F8C">
        <w:rPr>
          <w:rFonts w:ascii="Arial" w:hAnsi="Arial" w:cs="Arial"/>
        </w:rPr>
        <w:t>.</w:t>
      </w:r>
    </w:p>
    <w:p w14:paraId="224C0D14" w14:textId="77777777" w:rsidR="00B35F8C" w:rsidRPr="00B35F8C" w:rsidRDefault="00B35F8C" w:rsidP="00B35F8C">
      <w:pPr>
        <w:pStyle w:val="ListParagraph"/>
        <w:spacing w:line="276" w:lineRule="auto"/>
        <w:jc w:val="both"/>
        <w:rPr>
          <w:rFonts w:ascii="Arial" w:hAnsi="Arial" w:cs="Arial"/>
        </w:rPr>
      </w:pPr>
    </w:p>
    <w:p w14:paraId="79647B1C" w14:textId="77777777" w:rsidR="00B35F8C" w:rsidRPr="00B35F8C" w:rsidRDefault="00B35F8C" w:rsidP="00B35F8C">
      <w:pPr>
        <w:spacing w:line="276" w:lineRule="auto"/>
        <w:jc w:val="both"/>
        <w:rPr>
          <w:rFonts w:ascii="Arial" w:hAnsi="Arial" w:cs="Arial"/>
          <w:b/>
          <w:bCs/>
        </w:rPr>
      </w:pPr>
      <w:r w:rsidRPr="00B35F8C">
        <w:rPr>
          <w:rFonts w:ascii="Arial" w:hAnsi="Arial" w:cs="Arial"/>
          <w:b/>
          <w:bCs/>
        </w:rPr>
        <w:lastRenderedPageBreak/>
        <w:t>Facilitate continuous improvement of acquisition engineering processes and governance systems to enhance delivery efficiency, technical assurance, and strategic alignment, particularly for more complex projects</w:t>
      </w:r>
    </w:p>
    <w:p w14:paraId="1ED3CF05" w14:textId="77777777" w:rsidR="00B35F8C" w:rsidRPr="00B35F8C" w:rsidRDefault="00B35F8C" w:rsidP="000869C8">
      <w:pPr>
        <w:pStyle w:val="ListParagraph"/>
        <w:numPr>
          <w:ilvl w:val="0"/>
          <w:numId w:val="3"/>
        </w:numPr>
        <w:spacing w:line="276" w:lineRule="auto"/>
        <w:jc w:val="both"/>
        <w:rPr>
          <w:rFonts w:ascii="Arial" w:hAnsi="Arial" w:cs="Arial"/>
          <w:sz w:val="22"/>
          <w:szCs w:val="22"/>
        </w:rPr>
      </w:pPr>
      <w:r w:rsidRPr="00B35F8C">
        <w:rPr>
          <w:rFonts w:ascii="Arial" w:hAnsi="Arial" w:cs="Arial"/>
          <w:sz w:val="22"/>
          <w:szCs w:val="22"/>
        </w:rPr>
        <w:t>Lead design reviews to assess compliance with requirements, evaluate risk mitigation plans, and identify areas for improvement, embedding lessons learned across both complex and non-complex projects.</w:t>
      </w:r>
    </w:p>
    <w:p w14:paraId="3EB9B162" w14:textId="77777777" w:rsidR="00B35F8C" w:rsidRPr="00B35F8C" w:rsidRDefault="00B35F8C" w:rsidP="000869C8">
      <w:pPr>
        <w:pStyle w:val="ListParagraph"/>
        <w:numPr>
          <w:ilvl w:val="0"/>
          <w:numId w:val="3"/>
        </w:numPr>
        <w:spacing w:line="276" w:lineRule="auto"/>
        <w:jc w:val="both"/>
        <w:rPr>
          <w:rFonts w:ascii="Arial" w:hAnsi="Arial" w:cs="Arial"/>
          <w:sz w:val="22"/>
          <w:szCs w:val="22"/>
        </w:rPr>
      </w:pPr>
      <w:r w:rsidRPr="00B35F8C">
        <w:rPr>
          <w:rFonts w:ascii="Arial" w:hAnsi="Arial" w:cs="Arial"/>
          <w:sz w:val="22"/>
          <w:szCs w:val="22"/>
        </w:rPr>
        <w:t>Champion the implementation of new business processes, engineering tools, techniques, and control systems to strengthen engineering discipline and capability across high-complexity initiatives.</w:t>
      </w:r>
    </w:p>
    <w:p w14:paraId="74D6C9C6" w14:textId="77777777" w:rsidR="00B35F8C" w:rsidRPr="00B35F8C" w:rsidRDefault="00B35F8C" w:rsidP="000869C8">
      <w:pPr>
        <w:pStyle w:val="ListParagraph"/>
        <w:numPr>
          <w:ilvl w:val="0"/>
          <w:numId w:val="3"/>
        </w:numPr>
        <w:spacing w:line="276" w:lineRule="auto"/>
        <w:jc w:val="both"/>
        <w:rPr>
          <w:rFonts w:ascii="Arial" w:hAnsi="Arial" w:cs="Arial"/>
          <w:sz w:val="22"/>
          <w:szCs w:val="22"/>
        </w:rPr>
      </w:pPr>
      <w:r w:rsidRPr="00B35F8C">
        <w:rPr>
          <w:rFonts w:ascii="Arial" w:hAnsi="Arial" w:cs="Arial"/>
          <w:sz w:val="22"/>
          <w:szCs w:val="22"/>
        </w:rPr>
        <w:t>Collaborate with internal stakeholders and the client to institutionalize acquisition best practices, support informed decision-making, and elevate overall engineering maturity.</w:t>
      </w:r>
    </w:p>
    <w:p w14:paraId="6F07B493" w14:textId="3F46E358" w:rsidR="00B35F8C" w:rsidRDefault="00B35F8C" w:rsidP="000869C8">
      <w:pPr>
        <w:pStyle w:val="ListParagraph"/>
        <w:numPr>
          <w:ilvl w:val="0"/>
          <w:numId w:val="3"/>
        </w:numPr>
        <w:spacing w:line="276" w:lineRule="auto"/>
        <w:jc w:val="both"/>
        <w:rPr>
          <w:rFonts w:ascii="Arial" w:hAnsi="Arial" w:cs="Arial"/>
          <w:sz w:val="22"/>
          <w:szCs w:val="22"/>
        </w:rPr>
      </w:pPr>
      <w:r w:rsidRPr="00B35F8C">
        <w:rPr>
          <w:rFonts w:ascii="Arial" w:hAnsi="Arial" w:cs="Arial"/>
          <w:sz w:val="22"/>
          <w:szCs w:val="22"/>
        </w:rPr>
        <w:t>Actively contribute to cross-functional technical and business process reviews to ensure alignment between engineering governance and broader organisational objectives, with a focus on complex program delivery.</w:t>
      </w:r>
    </w:p>
    <w:p w14:paraId="1D8C8262" w14:textId="77777777" w:rsidR="00B35F8C" w:rsidRPr="00B35F8C" w:rsidRDefault="00B35F8C" w:rsidP="00B35F8C">
      <w:pPr>
        <w:pStyle w:val="ListParagraph"/>
        <w:spacing w:line="276" w:lineRule="auto"/>
        <w:jc w:val="both"/>
        <w:rPr>
          <w:rFonts w:ascii="Arial" w:hAnsi="Arial" w:cs="Arial"/>
          <w:sz w:val="22"/>
          <w:szCs w:val="22"/>
        </w:rPr>
      </w:pPr>
    </w:p>
    <w:p w14:paraId="15A77127" w14:textId="77777777" w:rsidR="00B35F8C" w:rsidRPr="00B35F8C" w:rsidRDefault="00B35F8C" w:rsidP="00B35F8C">
      <w:pPr>
        <w:spacing w:line="276" w:lineRule="auto"/>
        <w:jc w:val="both"/>
        <w:rPr>
          <w:rFonts w:ascii="Arial" w:hAnsi="Arial" w:cs="Arial"/>
          <w:b/>
          <w:bCs/>
        </w:rPr>
      </w:pPr>
      <w:r w:rsidRPr="00B35F8C">
        <w:rPr>
          <w:rFonts w:ascii="Arial" w:hAnsi="Arial" w:cs="Arial"/>
          <w:b/>
          <w:bCs/>
        </w:rPr>
        <w:t>Serve as a technical advisor in acquisition forums to ensure informed decision-making and robust governance of complex project and system-level reviews.</w:t>
      </w:r>
    </w:p>
    <w:p w14:paraId="53ACA17C" w14:textId="77777777" w:rsidR="00B35F8C" w:rsidRPr="00B35F8C" w:rsidRDefault="00B35F8C" w:rsidP="000869C8">
      <w:pPr>
        <w:pStyle w:val="ListParagraph"/>
        <w:numPr>
          <w:ilvl w:val="0"/>
          <w:numId w:val="4"/>
        </w:numPr>
        <w:spacing w:line="276" w:lineRule="auto"/>
        <w:jc w:val="both"/>
        <w:rPr>
          <w:rFonts w:ascii="Arial" w:hAnsi="Arial" w:cs="Arial"/>
          <w:sz w:val="22"/>
          <w:szCs w:val="22"/>
        </w:rPr>
      </w:pPr>
      <w:r w:rsidRPr="00B35F8C">
        <w:rPr>
          <w:rFonts w:ascii="Arial" w:hAnsi="Arial" w:cs="Arial"/>
          <w:sz w:val="22"/>
          <w:szCs w:val="22"/>
        </w:rPr>
        <w:t>Actively participate in Technical Review Boards, design reviews, and configuration audits, providing constructive input to guide project outcomes.</w:t>
      </w:r>
    </w:p>
    <w:p w14:paraId="20BBF45B" w14:textId="77777777" w:rsidR="00B35F8C" w:rsidRPr="00B35F8C" w:rsidRDefault="00B35F8C" w:rsidP="000869C8">
      <w:pPr>
        <w:pStyle w:val="ListParagraph"/>
        <w:numPr>
          <w:ilvl w:val="0"/>
          <w:numId w:val="4"/>
        </w:numPr>
        <w:spacing w:line="276" w:lineRule="auto"/>
        <w:jc w:val="both"/>
        <w:rPr>
          <w:rFonts w:ascii="Arial" w:hAnsi="Arial" w:cs="Arial"/>
          <w:sz w:val="22"/>
          <w:szCs w:val="22"/>
        </w:rPr>
      </w:pPr>
      <w:r w:rsidRPr="00B35F8C">
        <w:rPr>
          <w:rFonts w:ascii="Arial" w:hAnsi="Arial" w:cs="Arial"/>
          <w:sz w:val="22"/>
          <w:szCs w:val="22"/>
        </w:rPr>
        <w:t>Review and assess project deliverables to support technical approval or rejection based on evidence, engineering rationale, and project complexity.</w:t>
      </w:r>
    </w:p>
    <w:p w14:paraId="659A0685" w14:textId="77777777" w:rsidR="00B35F8C" w:rsidRPr="00B35F8C" w:rsidRDefault="00B35F8C" w:rsidP="000869C8">
      <w:pPr>
        <w:pStyle w:val="ListParagraph"/>
        <w:numPr>
          <w:ilvl w:val="0"/>
          <w:numId w:val="4"/>
        </w:numPr>
        <w:spacing w:line="276" w:lineRule="auto"/>
        <w:jc w:val="both"/>
        <w:rPr>
          <w:rFonts w:ascii="Arial" w:hAnsi="Arial" w:cs="Arial"/>
          <w:sz w:val="22"/>
          <w:szCs w:val="22"/>
        </w:rPr>
      </w:pPr>
      <w:r w:rsidRPr="00B35F8C">
        <w:rPr>
          <w:rFonts w:ascii="Arial" w:hAnsi="Arial" w:cs="Arial"/>
          <w:sz w:val="22"/>
          <w:szCs w:val="22"/>
        </w:rPr>
        <w:t>Provide engineering input into design reviews, verification and validation planning, and milestone-based deliverables throughout the acquisition lifecycle.</w:t>
      </w:r>
    </w:p>
    <w:p w14:paraId="60F916BF" w14:textId="59964A1E" w:rsidR="00B35F8C" w:rsidRDefault="00B35F8C" w:rsidP="000869C8">
      <w:pPr>
        <w:pStyle w:val="ListParagraph"/>
        <w:numPr>
          <w:ilvl w:val="0"/>
          <w:numId w:val="4"/>
        </w:numPr>
        <w:spacing w:line="276" w:lineRule="auto"/>
        <w:jc w:val="both"/>
        <w:rPr>
          <w:rFonts w:ascii="Arial" w:hAnsi="Arial" w:cs="Arial"/>
          <w:sz w:val="22"/>
          <w:szCs w:val="22"/>
        </w:rPr>
      </w:pPr>
      <w:r w:rsidRPr="00B35F8C">
        <w:rPr>
          <w:rFonts w:ascii="Arial" w:hAnsi="Arial" w:cs="Arial"/>
          <w:sz w:val="22"/>
          <w:szCs w:val="22"/>
        </w:rPr>
        <w:t>Support project managers and teams in strategic decision-making by contextualizing system trade-offs, capability gaps, and through-life support considerations for complex systems.</w:t>
      </w:r>
    </w:p>
    <w:p w14:paraId="75A647C6" w14:textId="77777777" w:rsidR="00B35F8C" w:rsidRPr="00B35F8C" w:rsidRDefault="00B35F8C" w:rsidP="00B35F8C">
      <w:pPr>
        <w:pStyle w:val="ListParagraph"/>
        <w:spacing w:line="276" w:lineRule="auto"/>
        <w:jc w:val="both"/>
        <w:rPr>
          <w:rFonts w:ascii="Arial" w:hAnsi="Arial" w:cs="Arial"/>
          <w:sz w:val="22"/>
          <w:szCs w:val="22"/>
        </w:rPr>
      </w:pPr>
    </w:p>
    <w:p w14:paraId="4EEA95F2" w14:textId="77777777" w:rsidR="00B35F8C" w:rsidRPr="00B35F8C" w:rsidRDefault="00B35F8C" w:rsidP="00B35F8C">
      <w:pPr>
        <w:spacing w:line="276" w:lineRule="auto"/>
        <w:jc w:val="both"/>
        <w:rPr>
          <w:rFonts w:ascii="Arial" w:hAnsi="Arial" w:cs="Arial"/>
          <w:b/>
          <w:bCs/>
        </w:rPr>
      </w:pPr>
      <w:r w:rsidRPr="00B35F8C">
        <w:rPr>
          <w:rFonts w:ascii="Arial" w:hAnsi="Arial" w:cs="Arial"/>
          <w:b/>
          <w:bCs/>
        </w:rPr>
        <w:t>Foster innovation, knowledge transfer, and talent development to build a high-maturity systems engineering and acquisition capability within the organization</w:t>
      </w:r>
    </w:p>
    <w:p w14:paraId="188748B9" w14:textId="77777777" w:rsidR="00B35F8C" w:rsidRPr="00B35F8C" w:rsidRDefault="00B35F8C" w:rsidP="000869C8">
      <w:pPr>
        <w:pStyle w:val="ListParagraph"/>
        <w:numPr>
          <w:ilvl w:val="0"/>
          <w:numId w:val="5"/>
        </w:numPr>
        <w:spacing w:line="276" w:lineRule="auto"/>
        <w:jc w:val="both"/>
        <w:rPr>
          <w:rFonts w:ascii="Arial" w:hAnsi="Arial" w:cs="Arial"/>
          <w:sz w:val="22"/>
          <w:szCs w:val="22"/>
        </w:rPr>
      </w:pPr>
      <w:r w:rsidRPr="00B35F8C">
        <w:rPr>
          <w:rFonts w:ascii="Arial" w:hAnsi="Arial" w:cs="Arial"/>
          <w:sz w:val="22"/>
          <w:szCs w:val="22"/>
        </w:rPr>
        <w:t xml:space="preserve">Maintain strategic awareness of global trends in systems engineering, including standards, guidelines, and digital engineering ecosystems impacting </w:t>
      </w:r>
      <w:proofErr w:type="spellStart"/>
      <w:r w:rsidRPr="00B35F8C">
        <w:rPr>
          <w:rFonts w:ascii="Arial" w:hAnsi="Arial" w:cs="Arial"/>
          <w:sz w:val="22"/>
          <w:szCs w:val="22"/>
        </w:rPr>
        <w:t>defense</w:t>
      </w:r>
      <w:proofErr w:type="spellEnd"/>
      <w:r w:rsidRPr="00B35F8C">
        <w:rPr>
          <w:rFonts w:ascii="Arial" w:hAnsi="Arial" w:cs="Arial"/>
          <w:sz w:val="22"/>
          <w:szCs w:val="22"/>
        </w:rPr>
        <w:t xml:space="preserve"> acquisition.</w:t>
      </w:r>
    </w:p>
    <w:p w14:paraId="18FD9296" w14:textId="77777777" w:rsidR="00B35F8C" w:rsidRPr="00B35F8C" w:rsidRDefault="00B35F8C" w:rsidP="000869C8">
      <w:pPr>
        <w:pStyle w:val="ListParagraph"/>
        <w:numPr>
          <w:ilvl w:val="0"/>
          <w:numId w:val="5"/>
        </w:numPr>
        <w:spacing w:line="276" w:lineRule="auto"/>
        <w:jc w:val="both"/>
        <w:rPr>
          <w:rFonts w:ascii="Arial" w:hAnsi="Arial" w:cs="Arial"/>
          <w:sz w:val="22"/>
          <w:szCs w:val="22"/>
        </w:rPr>
      </w:pPr>
      <w:r w:rsidRPr="00B35F8C">
        <w:rPr>
          <w:rFonts w:ascii="Arial" w:hAnsi="Arial" w:cs="Arial"/>
          <w:sz w:val="22"/>
          <w:szCs w:val="22"/>
        </w:rPr>
        <w:t>Provide expert advisory to executive stakeholders on integrating advanced engineering tools, frameworks, or predictive analytics to enhance decision velocity and policy responsiveness.</w:t>
      </w:r>
    </w:p>
    <w:p w14:paraId="52ED52DE" w14:textId="77777777" w:rsidR="00B35F8C" w:rsidRPr="00B35F8C" w:rsidRDefault="00B35F8C" w:rsidP="000869C8">
      <w:pPr>
        <w:pStyle w:val="ListParagraph"/>
        <w:numPr>
          <w:ilvl w:val="0"/>
          <w:numId w:val="5"/>
        </w:numPr>
        <w:spacing w:line="276" w:lineRule="auto"/>
        <w:jc w:val="both"/>
        <w:rPr>
          <w:rFonts w:ascii="Arial" w:hAnsi="Arial" w:cs="Arial"/>
          <w:sz w:val="22"/>
          <w:szCs w:val="22"/>
        </w:rPr>
      </w:pPr>
      <w:r w:rsidRPr="00B35F8C">
        <w:rPr>
          <w:rFonts w:ascii="Arial" w:hAnsi="Arial" w:cs="Arial"/>
          <w:sz w:val="22"/>
          <w:szCs w:val="22"/>
        </w:rPr>
        <w:t>Build internal capability through mentorship, structured knowledge exchange, and technical coaching programs focused on systems thinking and acquisition literacy.</w:t>
      </w:r>
    </w:p>
    <w:p w14:paraId="7590E856" w14:textId="77777777" w:rsidR="00B35F8C" w:rsidRPr="00B35F8C" w:rsidRDefault="00B35F8C" w:rsidP="000869C8">
      <w:pPr>
        <w:pStyle w:val="ListParagraph"/>
        <w:numPr>
          <w:ilvl w:val="0"/>
          <w:numId w:val="5"/>
        </w:numPr>
        <w:spacing w:line="276" w:lineRule="auto"/>
        <w:jc w:val="both"/>
        <w:rPr>
          <w:rFonts w:ascii="Arial" w:hAnsi="Arial" w:cs="Arial"/>
          <w:sz w:val="22"/>
          <w:szCs w:val="22"/>
        </w:rPr>
      </w:pPr>
      <w:r w:rsidRPr="00B35F8C">
        <w:rPr>
          <w:rFonts w:ascii="Arial" w:hAnsi="Arial" w:cs="Arial"/>
          <w:sz w:val="22"/>
          <w:szCs w:val="22"/>
        </w:rPr>
        <w:t>Lead initiatives that embed a culture of engineering excellence and learning, contributing to acquisition maturity models, capability roadmaps, and thought leadership outputs.</w:t>
      </w:r>
    </w:p>
    <w:p w14:paraId="532E1557" w14:textId="77777777" w:rsidR="00B35F8C" w:rsidRPr="00B35F8C" w:rsidRDefault="00B35F8C" w:rsidP="00B35F8C">
      <w:pPr>
        <w:spacing w:line="276" w:lineRule="auto"/>
        <w:rPr>
          <w:rFonts w:ascii="Arial" w:hAnsi="Arial" w:cs="Arial"/>
        </w:rPr>
      </w:pPr>
    </w:p>
    <w:p w14:paraId="59DACD60" w14:textId="4E23309E" w:rsidR="00AA7F10" w:rsidRPr="00843AFD" w:rsidRDefault="00AB0421" w:rsidP="00AA7F10">
      <w:pPr>
        <w:spacing w:line="276" w:lineRule="auto"/>
        <w:rPr>
          <w:rFonts w:ascii="Arial" w:hAnsi="Arial" w:cs="Arial"/>
          <w:b/>
          <w:bCs/>
        </w:rPr>
      </w:pPr>
      <w:r w:rsidRPr="00843AFD">
        <w:rPr>
          <w:rFonts w:ascii="Arial" w:hAnsi="Arial" w:cs="Arial"/>
          <w:b/>
          <w:bCs/>
        </w:rPr>
        <w:t>KNOWLEDGE &amp; FUNCTIONAL SKILLS</w:t>
      </w:r>
      <w:r w:rsidR="00AA7F10" w:rsidRPr="00843AFD">
        <w:rPr>
          <w:rFonts w:ascii="Arial" w:hAnsi="Arial" w:cs="Arial"/>
          <w:b/>
          <w:bCs/>
        </w:rPr>
        <w:t xml:space="preserve">: </w:t>
      </w:r>
    </w:p>
    <w:p w14:paraId="5C839BDA" w14:textId="77777777" w:rsidR="00B35F8C" w:rsidRPr="00B35F8C" w:rsidRDefault="00B35F8C" w:rsidP="000869C8">
      <w:pPr>
        <w:numPr>
          <w:ilvl w:val="0"/>
          <w:numId w:val="6"/>
        </w:numPr>
        <w:jc w:val="both"/>
        <w:rPr>
          <w:rFonts w:ascii="Arial" w:eastAsia="Times New Roman" w:hAnsi="Arial" w:cs="Arial"/>
          <w:lang w:val="en-US"/>
        </w:rPr>
      </w:pPr>
      <w:r w:rsidRPr="00B35F8C">
        <w:rPr>
          <w:rFonts w:ascii="Arial" w:eastAsia="Times New Roman" w:hAnsi="Arial" w:cs="Arial"/>
          <w:lang w:val="en-US"/>
        </w:rPr>
        <w:t>Deep expertise in systems engineering principles, lifecycle processes, and standards (e.g., INCOSE SE Handbook), with the ability to apply them to complex acquisition programs.</w:t>
      </w:r>
    </w:p>
    <w:p w14:paraId="3FFEDC0D" w14:textId="77777777" w:rsidR="00B35F8C" w:rsidRPr="00B35F8C" w:rsidRDefault="00B35F8C" w:rsidP="000869C8">
      <w:pPr>
        <w:numPr>
          <w:ilvl w:val="0"/>
          <w:numId w:val="6"/>
        </w:numPr>
        <w:jc w:val="both"/>
        <w:rPr>
          <w:rFonts w:ascii="Arial" w:eastAsia="Times New Roman" w:hAnsi="Arial" w:cs="Arial"/>
          <w:lang w:val="en-US"/>
        </w:rPr>
      </w:pPr>
      <w:r w:rsidRPr="00B35F8C">
        <w:rPr>
          <w:rFonts w:ascii="Arial" w:eastAsia="Times New Roman" w:hAnsi="Arial" w:cs="Arial"/>
          <w:lang w:val="en-US"/>
        </w:rPr>
        <w:t xml:space="preserve">Strong knowledge of </w:t>
      </w:r>
      <w:proofErr w:type="spellStart"/>
      <w:r w:rsidRPr="00B35F8C">
        <w:rPr>
          <w:rFonts w:ascii="Arial" w:eastAsia="Times New Roman" w:hAnsi="Arial" w:cs="Arial"/>
          <w:lang w:val="en-US"/>
        </w:rPr>
        <w:t>defence</w:t>
      </w:r>
      <w:proofErr w:type="spellEnd"/>
      <w:r w:rsidRPr="00B35F8C">
        <w:rPr>
          <w:rFonts w:ascii="Arial" w:eastAsia="Times New Roman" w:hAnsi="Arial" w:cs="Arial"/>
          <w:lang w:val="en-US"/>
        </w:rPr>
        <w:t xml:space="preserve"> and complex acquisition management frameworks, including Smart Buyer principles and capital acquisition governance, to ensure effective oversight and compliance.</w:t>
      </w:r>
    </w:p>
    <w:p w14:paraId="2F4CC11B" w14:textId="77777777" w:rsidR="00B35F8C" w:rsidRPr="00B35F8C" w:rsidRDefault="00B35F8C" w:rsidP="000869C8">
      <w:pPr>
        <w:numPr>
          <w:ilvl w:val="0"/>
          <w:numId w:val="6"/>
        </w:numPr>
        <w:jc w:val="both"/>
        <w:rPr>
          <w:rFonts w:ascii="Arial" w:eastAsia="Times New Roman" w:hAnsi="Arial" w:cs="Arial"/>
          <w:lang w:val="en-US"/>
        </w:rPr>
      </w:pPr>
      <w:r w:rsidRPr="00B35F8C">
        <w:rPr>
          <w:rFonts w:ascii="Arial" w:eastAsia="Times New Roman" w:hAnsi="Arial" w:cs="Arial"/>
          <w:lang w:val="en-US"/>
        </w:rPr>
        <w:lastRenderedPageBreak/>
        <w:t>Experience in specification development, technical requirement tailoring, and contracting, applicable to both complex and non-complex systems or platforms.</w:t>
      </w:r>
    </w:p>
    <w:p w14:paraId="2E98EF3E" w14:textId="77777777" w:rsidR="00B35F8C" w:rsidRPr="00B35F8C" w:rsidRDefault="00B35F8C" w:rsidP="000869C8">
      <w:pPr>
        <w:numPr>
          <w:ilvl w:val="0"/>
          <w:numId w:val="6"/>
        </w:numPr>
        <w:jc w:val="both"/>
        <w:rPr>
          <w:rFonts w:ascii="Arial" w:eastAsia="Times New Roman" w:hAnsi="Arial" w:cs="Arial"/>
          <w:lang w:val="en-US"/>
        </w:rPr>
      </w:pPr>
      <w:r w:rsidRPr="00B35F8C">
        <w:rPr>
          <w:rFonts w:ascii="Arial" w:eastAsia="Times New Roman" w:hAnsi="Arial" w:cs="Arial"/>
          <w:lang w:val="en-US"/>
        </w:rPr>
        <w:t xml:space="preserve">Comprehensive understanding of relevant regulatory and compliance requirements (e.g., PFMA, </w:t>
      </w:r>
      <w:proofErr w:type="spellStart"/>
      <w:r w:rsidRPr="00B35F8C">
        <w:rPr>
          <w:rFonts w:ascii="Arial" w:eastAsia="Times New Roman" w:hAnsi="Arial" w:cs="Arial"/>
          <w:lang w:val="en-US"/>
        </w:rPr>
        <w:t>Defence</w:t>
      </w:r>
      <w:proofErr w:type="spellEnd"/>
      <w:r w:rsidRPr="00B35F8C">
        <w:rPr>
          <w:rFonts w:ascii="Arial" w:eastAsia="Times New Roman" w:hAnsi="Arial" w:cs="Arial"/>
          <w:lang w:val="en-US"/>
        </w:rPr>
        <w:t xml:space="preserve"> Regulations, ISO quality standards) and their practical application in project delivery.</w:t>
      </w:r>
    </w:p>
    <w:p w14:paraId="3C1EED79" w14:textId="77777777" w:rsidR="00B35F8C" w:rsidRPr="00B35F8C" w:rsidRDefault="00B35F8C" w:rsidP="000869C8">
      <w:pPr>
        <w:numPr>
          <w:ilvl w:val="0"/>
          <w:numId w:val="6"/>
        </w:numPr>
        <w:jc w:val="both"/>
        <w:rPr>
          <w:rFonts w:ascii="Arial" w:eastAsia="Times New Roman" w:hAnsi="Arial" w:cs="Arial"/>
          <w:lang w:val="en-US"/>
        </w:rPr>
      </w:pPr>
      <w:r w:rsidRPr="00B35F8C">
        <w:rPr>
          <w:rFonts w:ascii="Arial" w:eastAsia="Times New Roman" w:hAnsi="Arial" w:cs="Arial"/>
          <w:lang w:val="en-US"/>
        </w:rPr>
        <w:t>Awareness of national and international best practices and emerging trends in systems engineering to inform continuous improvement and innovation.</w:t>
      </w:r>
    </w:p>
    <w:p w14:paraId="09890D88" w14:textId="77777777" w:rsidR="00B35F8C" w:rsidRPr="00B35F8C" w:rsidRDefault="00B35F8C" w:rsidP="000869C8">
      <w:pPr>
        <w:numPr>
          <w:ilvl w:val="0"/>
          <w:numId w:val="6"/>
        </w:numPr>
        <w:jc w:val="both"/>
        <w:rPr>
          <w:rFonts w:ascii="Arial" w:eastAsia="Times New Roman" w:hAnsi="Arial" w:cs="Arial"/>
          <w:lang w:val="en-US"/>
        </w:rPr>
      </w:pPr>
      <w:r w:rsidRPr="00B35F8C">
        <w:rPr>
          <w:rFonts w:ascii="Arial" w:eastAsia="Times New Roman" w:hAnsi="Arial" w:cs="Arial"/>
          <w:lang w:val="en-US"/>
        </w:rPr>
        <w:t xml:space="preserve">Working knowledge of the SANDF structure, operational force application, product systems, practices, and protocols, enabling effective collaboration and alignment with </w:t>
      </w:r>
      <w:proofErr w:type="spellStart"/>
      <w:r w:rsidRPr="00B35F8C">
        <w:rPr>
          <w:rFonts w:ascii="Arial" w:eastAsia="Times New Roman" w:hAnsi="Arial" w:cs="Arial"/>
          <w:lang w:val="en-US"/>
        </w:rPr>
        <w:t>defence</w:t>
      </w:r>
      <w:proofErr w:type="spellEnd"/>
      <w:r w:rsidRPr="00B35F8C">
        <w:rPr>
          <w:rFonts w:ascii="Arial" w:eastAsia="Times New Roman" w:hAnsi="Arial" w:cs="Arial"/>
          <w:lang w:val="en-US"/>
        </w:rPr>
        <w:t xml:space="preserve"> stakeholders.</w:t>
      </w:r>
    </w:p>
    <w:p w14:paraId="03EDB77C" w14:textId="735BA8A7" w:rsidR="003A63F7" w:rsidRDefault="003A63F7" w:rsidP="003A63F7">
      <w:pPr>
        <w:rPr>
          <w:rFonts w:ascii="Arial" w:hAnsi="Arial" w:cs="Arial"/>
          <w:lang w:val="en-GB"/>
        </w:rPr>
      </w:pPr>
    </w:p>
    <w:p w14:paraId="6D256A50" w14:textId="04739CA1" w:rsidR="00AA7F10" w:rsidRPr="00F02E30" w:rsidRDefault="00AA7F10" w:rsidP="00F02E30">
      <w:pPr>
        <w:snapToGrid w:val="0"/>
        <w:jc w:val="both"/>
        <w:rPr>
          <w:rFonts w:ascii="Arial" w:hAnsi="Arial" w:cs="Arial"/>
          <w:b/>
          <w:bCs/>
          <w:lang w:val="en-GB"/>
        </w:rPr>
      </w:pPr>
      <w:r w:rsidRPr="00740F5C">
        <w:rPr>
          <w:rFonts w:ascii="Arial" w:hAnsi="Arial" w:cs="Arial"/>
          <w:b/>
          <w:bCs/>
          <w:lang w:val="en-GB"/>
        </w:rPr>
        <w:t xml:space="preserve">To apply, send your </w:t>
      </w:r>
      <w:r w:rsidR="00740F5C">
        <w:rPr>
          <w:rFonts w:ascii="Arial" w:hAnsi="Arial" w:cs="Arial"/>
          <w:b/>
          <w:bCs/>
          <w:lang w:val="en-GB"/>
        </w:rPr>
        <w:t>Curriculum Vitae</w:t>
      </w:r>
      <w:r w:rsidRPr="00740F5C">
        <w:rPr>
          <w:rFonts w:ascii="Arial" w:hAnsi="Arial" w:cs="Arial"/>
          <w:b/>
          <w:bCs/>
          <w:lang w:val="en-GB"/>
        </w:rPr>
        <w:t xml:space="preserve"> to </w:t>
      </w:r>
      <w:hyperlink r:id="rId11" w:history="1">
        <w:r w:rsidR="002602DC" w:rsidRPr="0092267F">
          <w:rPr>
            <w:rStyle w:val="Hyperlink"/>
            <w:rFonts w:ascii="Arial" w:hAnsi="Arial" w:cs="Arial"/>
            <w:b/>
            <w:bCs/>
            <w:lang w:val="en-GB"/>
          </w:rPr>
          <w:t>Vacancies@armscor.co.za</w:t>
        </w:r>
      </w:hyperlink>
    </w:p>
    <w:p w14:paraId="0A9B1322" w14:textId="77777777" w:rsidR="00B7004A" w:rsidRDefault="00B7004A" w:rsidP="00AA7F10">
      <w:pPr>
        <w:jc w:val="both"/>
        <w:rPr>
          <w:rFonts w:ascii="Arial" w:hAnsi="Arial" w:cs="Arial"/>
          <w:b/>
          <w:bCs/>
          <w:i/>
          <w:iCs/>
          <w:lang w:val="en-GB"/>
        </w:rPr>
      </w:pPr>
    </w:p>
    <w:p w14:paraId="4F6C7A8B" w14:textId="477C677D" w:rsidR="00AA7F10" w:rsidRPr="00740F5C" w:rsidRDefault="00AA7F10" w:rsidP="00AA7F10">
      <w:pPr>
        <w:jc w:val="both"/>
        <w:rPr>
          <w:rFonts w:ascii="Arial" w:hAnsi="Arial" w:cs="Arial"/>
          <w:b/>
          <w:bCs/>
          <w:i/>
          <w:iCs/>
          <w:lang w:val="en-GB"/>
        </w:rPr>
      </w:pPr>
      <w:r w:rsidRPr="00740F5C">
        <w:rPr>
          <w:rFonts w:ascii="Arial" w:hAnsi="Arial" w:cs="Arial"/>
          <w:b/>
          <w:bCs/>
          <w:i/>
          <w:iCs/>
          <w:lang w:val="en-GB"/>
        </w:rPr>
        <w:t>NB: All applicants must indicate reference number of the position they are applying for in the subject heading.</w:t>
      </w:r>
    </w:p>
    <w:p w14:paraId="0FA60D87" w14:textId="77777777" w:rsidR="00AA7F10" w:rsidRPr="00740F5C" w:rsidRDefault="00AA7F10" w:rsidP="00AA7F10">
      <w:pPr>
        <w:jc w:val="both"/>
        <w:rPr>
          <w:rFonts w:ascii="Arial" w:hAnsi="Arial" w:cs="Arial"/>
          <w:b/>
          <w:bCs/>
          <w:i/>
          <w:iCs/>
          <w:lang w:val="en-GB"/>
        </w:rPr>
      </w:pPr>
    </w:p>
    <w:p w14:paraId="70619E26" w14:textId="77777777" w:rsidR="00AA7F10" w:rsidRPr="00740F5C" w:rsidRDefault="00AA7F10" w:rsidP="00AA7F10">
      <w:pPr>
        <w:jc w:val="both"/>
        <w:rPr>
          <w:rFonts w:ascii="Arial" w:hAnsi="Arial" w:cs="Arial"/>
          <w:b/>
          <w:bCs/>
          <w:i/>
          <w:iCs/>
          <w:lang w:val="en-GB"/>
        </w:rPr>
      </w:pPr>
      <w:r w:rsidRPr="00740F5C">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740F5C">
        <w:rPr>
          <w:rFonts w:ascii="Arial" w:hAnsi="Arial" w:cs="Arial"/>
          <w:b/>
          <w:bCs/>
          <w:i/>
          <w:iCs/>
          <w:lang w:val="en-GB"/>
        </w:rPr>
        <w:t>People with disabilities are encouraged to apply.</w:t>
      </w:r>
    </w:p>
    <w:p w14:paraId="6BFD1B27" w14:textId="77777777" w:rsidR="00AA7F10" w:rsidRPr="00740F5C" w:rsidRDefault="00AA7F10" w:rsidP="00AA7F10">
      <w:pPr>
        <w:jc w:val="both"/>
        <w:rPr>
          <w:rFonts w:ascii="Arial" w:hAnsi="Arial" w:cs="Arial"/>
          <w:lang w:val="en-GB"/>
        </w:rPr>
      </w:pPr>
    </w:p>
    <w:p w14:paraId="6807910A" w14:textId="188AA37B" w:rsidR="00AA7F10" w:rsidRPr="00740F5C" w:rsidRDefault="00AA7F10" w:rsidP="00AA7F10">
      <w:pPr>
        <w:jc w:val="both"/>
        <w:rPr>
          <w:rFonts w:ascii="Arial" w:hAnsi="Arial" w:cs="Arial"/>
          <w:lang w:val="en-GB"/>
        </w:rPr>
      </w:pPr>
      <w:r w:rsidRPr="00740F5C">
        <w:rPr>
          <w:rFonts w:ascii="Arial" w:hAnsi="Arial" w:cs="Arial"/>
          <w:lang w:val="en-GB"/>
        </w:rPr>
        <w:t xml:space="preserve">The closing date for applications is </w:t>
      </w:r>
      <w:r w:rsidR="002602DC">
        <w:rPr>
          <w:rFonts w:ascii="Arial" w:hAnsi="Arial" w:cs="Arial"/>
          <w:b/>
          <w:bCs/>
          <w:lang w:val="en-GB"/>
        </w:rPr>
        <w:t>16 March</w:t>
      </w:r>
      <w:r w:rsidRPr="00740F5C">
        <w:rPr>
          <w:rFonts w:ascii="Arial" w:hAnsi="Arial" w:cs="Arial"/>
          <w:b/>
          <w:bCs/>
          <w:lang w:val="en-GB"/>
        </w:rPr>
        <w:t xml:space="preserve"> 202</w:t>
      </w:r>
      <w:r w:rsidR="00247695">
        <w:rPr>
          <w:rFonts w:ascii="Arial" w:hAnsi="Arial" w:cs="Arial"/>
          <w:b/>
          <w:bCs/>
          <w:lang w:val="en-GB"/>
        </w:rPr>
        <w:t>5</w:t>
      </w:r>
      <w:r w:rsidRPr="00740F5C">
        <w:rPr>
          <w:rFonts w:ascii="Arial" w:hAnsi="Arial" w:cs="Arial"/>
          <w:lang w:val="en-GB"/>
        </w:rPr>
        <w:t>.  Late applications will not be considered.</w:t>
      </w:r>
    </w:p>
    <w:p w14:paraId="05541FCD" w14:textId="77777777" w:rsidR="00AA7F10" w:rsidRPr="00740F5C" w:rsidRDefault="00AA7F10" w:rsidP="00AA7F10">
      <w:pPr>
        <w:jc w:val="both"/>
        <w:rPr>
          <w:rFonts w:ascii="Arial" w:hAnsi="Arial" w:cs="Arial"/>
          <w:lang w:val="en-GB"/>
        </w:rPr>
      </w:pPr>
    </w:p>
    <w:p w14:paraId="0754B5EC" w14:textId="2B23D96D" w:rsidR="00AA7F10" w:rsidRPr="00740F5C" w:rsidRDefault="00AA7F10" w:rsidP="00AA7F10">
      <w:pPr>
        <w:jc w:val="both"/>
        <w:rPr>
          <w:rFonts w:ascii="Arial" w:hAnsi="Arial" w:cs="Arial"/>
          <w:b/>
          <w:bCs/>
          <w:lang w:val="en-GB"/>
        </w:rPr>
      </w:pPr>
      <w:r w:rsidRPr="00740F5C">
        <w:rPr>
          <w:rFonts w:ascii="Arial" w:hAnsi="Arial" w:cs="Arial"/>
          <w:b/>
          <w:bCs/>
          <w:lang w:val="en-GB"/>
        </w:rPr>
        <w:t xml:space="preserve">Enquiries: </w:t>
      </w:r>
      <w:r w:rsidR="00247695">
        <w:rPr>
          <w:rFonts w:ascii="Arial" w:hAnsi="Arial" w:cs="Arial"/>
          <w:b/>
          <w:bCs/>
          <w:lang w:val="en-GB"/>
        </w:rPr>
        <w:t xml:space="preserve">Ms </w:t>
      </w:r>
      <w:r w:rsidR="002602DC">
        <w:rPr>
          <w:rFonts w:ascii="Arial" w:hAnsi="Arial" w:cs="Arial"/>
          <w:b/>
          <w:bCs/>
          <w:lang w:val="en-GB"/>
        </w:rPr>
        <w:t>Dineo Bopape</w:t>
      </w:r>
      <w:r w:rsidR="00CE72EA" w:rsidRPr="00740F5C">
        <w:rPr>
          <w:rFonts w:ascii="Arial" w:hAnsi="Arial" w:cs="Arial"/>
          <w:b/>
          <w:bCs/>
          <w:lang w:val="en-GB"/>
        </w:rPr>
        <w:t xml:space="preserve"> (012 428 2</w:t>
      </w:r>
      <w:r w:rsidR="00E05E2F">
        <w:rPr>
          <w:rFonts w:ascii="Arial" w:hAnsi="Arial" w:cs="Arial"/>
          <w:b/>
          <w:bCs/>
          <w:lang w:val="en-GB"/>
        </w:rPr>
        <w:t>4</w:t>
      </w:r>
      <w:r w:rsidR="002602DC">
        <w:rPr>
          <w:rFonts w:ascii="Arial" w:hAnsi="Arial" w:cs="Arial"/>
          <w:b/>
          <w:bCs/>
          <w:lang w:val="en-GB"/>
        </w:rPr>
        <w:t>12</w:t>
      </w:r>
      <w:r w:rsidR="00CE72EA" w:rsidRPr="00740F5C">
        <w:rPr>
          <w:rFonts w:ascii="Arial" w:hAnsi="Arial" w:cs="Arial"/>
          <w:b/>
          <w:bCs/>
          <w:lang w:val="en-GB"/>
        </w:rPr>
        <w:t xml:space="preserve">) </w:t>
      </w:r>
    </w:p>
    <w:p w14:paraId="57D3C5EC" w14:textId="77777777" w:rsidR="00AA7F10" w:rsidRPr="00740F5C" w:rsidRDefault="00AA7F10" w:rsidP="0054578A">
      <w:pPr>
        <w:jc w:val="both"/>
        <w:rPr>
          <w:rFonts w:ascii="Arial" w:hAnsi="Arial" w:cs="Arial"/>
        </w:rPr>
      </w:pPr>
    </w:p>
    <w:p w14:paraId="725CC87F" w14:textId="77777777" w:rsidR="00AA7F10" w:rsidRPr="00740F5C" w:rsidRDefault="00AA7F10" w:rsidP="0054578A">
      <w:pPr>
        <w:jc w:val="both"/>
        <w:rPr>
          <w:rFonts w:ascii="Arial" w:hAnsi="Arial" w:cs="Arial"/>
        </w:rPr>
      </w:pPr>
    </w:p>
    <w:sectPr w:rsidR="00AA7F10" w:rsidRPr="00740F5C"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F94F6" w14:textId="77777777" w:rsidR="000869C8" w:rsidRDefault="000869C8" w:rsidP="00020491">
      <w:r>
        <w:separator/>
      </w:r>
    </w:p>
  </w:endnote>
  <w:endnote w:type="continuationSeparator" w:id="0">
    <w:p w14:paraId="1365F696" w14:textId="77777777" w:rsidR="000869C8" w:rsidRDefault="000869C8"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19A2" w14:textId="77777777" w:rsidR="000869C8" w:rsidRDefault="000869C8" w:rsidP="00020491">
      <w:r>
        <w:separator/>
      </w:r>
    </w:p>
  </w:footnote>
  <w:footnote w:type="continuationSeparator" w:id="0">
    <w:p w14:paraId="5116C16F" w14:textId="77777777" w:rsidR="000869C8" w:rsidRDefault="000869C8"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1B68"/>
    <w:multiLevelType w:val="hybridMultilevel"/>
    <w:tmpl w:val="CBDAE4D8"/>
    <w:lvl w:ilvl="0" w:tplc="D4B24A4E">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69D40D9"/>
    <w:multiLevelType w:val="hybridMultilevel"/>
    <w:tmpl w:val="F0EC5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9516303"/>
    <w:multiLevelType w:val="hybridMultilevel"/>
    <w:tmpl w:val="5B240A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2727575"/>
    <w:multiLevelType w:val="hybridMultilevel"/>
    <w:tmpl w:val="A4D87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DA05D37"/>
    <w:multiLevelType w:val="hybridMultilevel"/>
    <w:tmpl w:val="AFCE2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2A030E4"/>
    <w:multiLevelType w:val="hybridMultilevel"/>
    <w:tmpl w:val="9CC6E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9D65AFC"/>
    <w:multiLevelType w:val="hybridMultilevel"/>
    <w:tmpl w:val="E572F1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08450C8"/>
    <w:multiLevelType w:val="hybridMultilevel"/>
    <w:tmpl w:val="97F653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F5C51F2"/>
    <w:multiLevelType w:val="hybridMultilevel"/>
    <w:tmpl w:val="D8A4AF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2"/>
  </w:num>
  <w:num w:numId="6">
    <w:abstractNumId w:val="8"/>
  </w:num>
  <w:num w:numId="7">
    <w:abstractNumId w:val="6"/>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20491"/>
    <w:rsid w:val="00065D1D"/>
    <w:rsid w:val="00074AD7"/>
    <w:rsid w:val="000869C8"/>
    <w:rsid w:val="000956CB"/>
    <w:rsid w:val="000A1C81"/>
    <w:rsid w:val="000F773E"/>
    <w:rsid w:val="00151278"/>
    <w:rsid w:val="001961BB"/>
    <w:rsid w:val="001E1889"/>
    <w:rsid w:val="00207496"/>
    <w:rsid w:val="00247695"/>
    <w:rsid w:val="0025693B"/>
    <w:rsid w:val="002602DC"/>
    <w:rsid w:val="002728B3"/>
    <w:rsid w:val="00285B5A"/>
    <w:rsid w:val="002B0A3D"/>
    <w:rsid w:val="002D35E9"/>
    <w:rsid w:val="002F0C88"/>
    <w:rsid w:val="00361B1A"/>
    <w:rsid w:val="003A63F7"/>
    <w:rsid w:val="00426AAC"/>
    <w:rsid w:val="00442302"/>
    <w:rsid w:val="00473763"/>
    <w:rsid w:val="00474F00"/>
    <w:rsid w:val="004966F7"/>
    <w:rsid w:val="0054578A"/>
    <w:rsid w:val="005466F6"/>
    <w:rsid w:val="005531D7"/>
    <w:rsid w:val="005A5D85"/>
    <w:rsid w:val="005C0834"/>
    <w:rsid w:val="005D5303"/>
    <w:rsid w:val="005D5FB8"/>
    <w:rsid w:val="005E7232"/>
    <w:rsid w:val="005F28D6"/>
    <w:rsid w:val="005F701F"/>
    <w:rsid w:val="006501F6"/>
    <w:rsid w:val="006A5379"/>
    <w:rsid w:val="006A7685"/>
    <w:rsid w:val="006B63EF"/>
    <w:rsid w:val="006D27CE"/>
    <w:rsid w:val="00701418"/>
    <w:rsid w:val="00740F5C"/>
    <w:rsid w:val="007747F1"/>
    <w:rsid w:val="0084070A"/>
    <w:rsid w:val="00841E68"/>
    <w:rsid w:val="00843AFD"/>
    <w:rsid w:val="00874E92"/>
    <w:rsid w:val="008812A9"/>
    <w:rsid w:val="008D0A34"/>
    <w:rsid w:val="0091679B"/>
    <w:rsid w:val="00957316"/>
    <w:rsid w:val="009667F2"/>
    <w:rsid w:val="00967AC4"/>
    <w:rsid w:val="00993CE5"/>
    <w:rsid w:val="009D32CE"/>
    <w:rsid w:val="00A44962"/>
    <w:rsid w:val="00A8556E"/>
    <w:rsid w:val="00AA05E4"/>
    <w:rsid w:val="00AA11DD"/>
    <w:rsid w:val="00AA7F10"/>
    <w:rsid w:val="00AB0421"/>
    <w:rsid w:val="00AF4C27"/>
    <w:rsid w:val="00B079ED"/>
    <w:rsid w:val="00B35F8C"/>
    <w:rsid w:val="00B7004A"/>
    <w:rsid w:val="00B851DD"/>
    <w:rsid w:val="00BA4D0D"/>
    <w:rsid w:val="00C37A62"/>
    <w:rsid w:val="00C526AF"/>
    <w:rsid w:val="00CA4AF1"/>
    <w:rsid w:val="00CA7296"/>
    <w:rsid w:val="00CE72EA"/>
    <w:rsid w:val="00D47370"/>
    <w:rsid w:val="00D55E99"/>
    <w:rsid w:val="00D616A1"/>
    <w:rsid w:val="00D6371C"/>
    <w:rsid w:val="00D71F82"/>
    <w:rsid w:val="00D83D8C"/>
    <w:rsid w:val="00D852BD"/>
    <w:rsid w:val="00DA0399"/>
    <w:rsid w:val="00E045C1"/>
    <w:rsid w:val="00E05E2F"/>
    <w:rsid w:val="00E06020"/>
    <w:rsid w:val="00E229DC"/>
    <w:rsid w:val="00E45B00"/>
    <w:rsid w:val="00E805CD"/>
    <w:rsid w:val="00EE0832"/>
    <w:rsid w:val="00F02E30"/>
    <w:rsid w:val="00F112F6"/>
    <w:rsid w:val="00F1761C"/>
    <w:rsid w:val="00F229D9"/>
    <w:rsid w:val="00F23C5A"/>
    <w:rsid w:val="00FA38EC"/>
    <w:rsid w:val="00FA53C4"/>
    <w:rsid w:val="00FB4702"/>
    <w:rsid w:val="00FB4A4B"/>
    <w:rsid w:val="00FD2D79"/>
    <w:rsid w:val="00FD41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uiPriority w:val="59"/>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character" w:styleId="UnresolvedMention">
    <w:name w:val="Unresolved Mention"/>
    <w:basedOn w:val="DefaultParagraphFont"/>
    <w:uiPriority w:val="99"/>
    <w:semiHidden/>
    <w:unhideWhenUsed/>
    <w:rsid w:val="00260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2.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1443</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Junior Project Manager - Naval Systems</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Project Manager - Naval Systems</dc:title>
  <dc:subject/>
  <dc:creator>Cynthia Msiza</dc:creator>
  <cp:keywords/>
  <dc:description/>
  <cp:lastModifiedBy>Dineo Bopape</cp:lastModifiedBy>
  <cp:revision>2</cp:revision>
  <dcterms:created xsi:type="dcterms:W3CDTF">2026-03-10T15:07:00Z</dcterms:created>
  <dcterms:modified xsi:type="dcterms:W3CDTF">2026-03-10T15:07:00Z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