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4B98" w14:textId="3008155F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  <w:r w:rsidRPr="00D03960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AC4B374" wp14:editId="7C5BAFD0">
            <wp:simplePos x="0" y="0"/>
            <wp:positionH relativeFrom="column">
              <wp:posOffset>3789045</wp:posOffset>
            </wp:positionH>
            <wp:positionV relativeFrom="paragraph">
              <wp:posOffset>-513292</wp:posOffset>
            </wp:positionV>
            <wp:extent cx="2054431" cy="798747"/>
            <wp:effectExtent l="0" t="0" r="3175" b="1905"/>
            <wp:wrapNone/>
            <wp:docPr id="1" name="Picture 1" descr="Logo_name_color_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ame_color_D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1" cy="7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B352F" w14:textId="77777777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0E84ABDA" w14:textId="77777777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6B887489" w14:textId="5A2C2681" w:rsidR="00B7004A" w:rsidRPr="00EE6B75" w:rsidRDefault="00220579" w:rsidP="00EE6B7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</w:t>
      </w:r>
      <w:r w:rsidR="00F02E30" w:rsidRPr="002D54AA">
        <w:rPr>
          <w:rFonts w:ascii="Arial" w:hAnsi="Arial" w:cs="Arial"/>
          <w:b/>
          <w:lang w:val="en-GB"/>
        </w:rPr>
        <w:t>TERNAL ADVERTISEMENT</w:t>
      </w:r>
    </w:p>
    <w:tbl>
      <w:tblPr>
        <w:tblStyle w:val="TableGrid"/>
        <w:tblpPr w:leftFromText="180" w:rightFromText="180" w:vertAnchor="page" w:horzAnchor="margin" w:tblpY="2668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D7423" w:rsidRPr="00C33258" w14:paraId="4AB2FB52" w14:textId="77777777" w:rsidTr="009F6E39">
        <w:trPr>
          <w:trHeight w:val="274"/>
        </w:trPr>
        <w:tc>
          <w:tcPr>
            <w:tcW w:w="3964" w:type="dxa"/>
            <w:vAlign w:val="center"/>
          </w:tcPr>
          <w:p w14:paraId="279528C5" w14:textId="77777777" w:rsidR="005D7423" w:rsidRPr="00C33258" w:rsidRDefault="005D7423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5245" w:type="dxa"/>
            <w:vAlign w:val="center"/>
          </w:tcPr>
          <w:p w14:paraId="2049CFBB" w14:textId="07FCA73B" w:rsidR="005D7423" w:rsidRPr="00D208BD" w:rsidRDefault="00547AD8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Senior</w:t>
            </w:r>
            <w:r w:rsidR="00200AA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Project Manager </w:t>
            </w:r>
          </w:p>
        </w:tc>
      </w:tr>
      <w:tr w:rsidR="00A80293" w:rsidRPr="00C33258" w14:paraId="4DD1612F" w14:textId="77777777" w:rsidTr="009F6E39">
        <w:trPr>
          <w:trHeight w:val="274"/>
        </w:trPr>
        <w:tc>
          <w:tcPr>
            <w:tcW w:w="3964" w:type="dxa"/>
            <w:vAlign w:val="center"/>
          </w:tcPr>
          <w:p w14:paraId="64DA72C6" w14:textId="4785A02F" w:rsidR="00A80293" w:rsidRPr="00A80293" w:rsidRDefault="00A80293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8029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Division</w:t>
            </w:r>
          </w:p>
        </w:tc>
        <w:tc>
          <w:tcPr>
            <w:tcW w:w="5245" w:type="dxa"/>
            <w:vAlign w:val="center"/>
          </w:tcPr>
          <w:p w14:paraId="2B71F504" w14:textId="6D797668" w:rsidR="00A80293" w:rsidRPr="00A80293" w:rsidRDefault="00A80293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8029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Telecommunications and Sensing Systems </w:t>
            </w:r>
          </w:p>
        </w:tc>
      </w:tr>
      <w:tr w:rsidR="005D7423" w:rsidRPr="00C33258" w14:paraId="6B3B3A00" w14:textId="77777777" w:rsidTr="009F6E39">
        <w:trPr>
          <w:trHeight w:val="279"/>
        </w:trPr>
        <w:tc>
          <w:tcPr>
            <w:tcW w:w="3964" w:type="dxa"/>
            <w:vAlign w:val="center"/>
          </w:tcPr>
          <w:p w14:paraId="4F605014" w14:textId="77777777" w:rsidR="005D7423" w:rsidRPr="00C33258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Reference Number</w:t>
            </w:r>
          </w:p>
        </w:tc>
        <w:tc>
          <w:tcPr>
            <w:tcW w:w="5245" w:type="dxa"/>
            <w:vAlign w:val="center"/>
          </w:tcPr>
          <w:p w14:paraId="3CED008F" w14:textId="099C23A8" w:rsidR="005D7423" w:rsidRPr="00F6561A" w:rsidRDefault="00F6561A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6561A">
              <w:rPr>
                <w:rFonts w:ascii="Arial" w:hAnsi="Arial" w:cs="Arial"/>
                <w:b/>
                <w:sz w:val="22"/>
                <w:szCs w:val="22"/>
                <w:lang w:val="en-GB"/>
              </w:rPr>
              <w:t>9993</w:t>
            </w:r>
            <w:r w:rsidR="00200AA6">
              <w:rPr>
                <w:rFonts w:ascii="Arial" w:hAnsi="Arial" w:cs="Arial"/>
                <w:b/>
                <w:sz w:val="22"/>
                <w:szCs w:val="22"/>
                <w:lang w:val="en-GB"/>
              </w:rPr>
              <w:t>50</w:t>
            </w:r>
            <w:r w:rsidR="00547AD8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</w:p>
        </w:tc>
      </w:tr>
      <w:tr w:rsidR="005D7423" w:rsidRPr="00C33258" w14:paraId="03158CFB" w14:textId="77777777" w:rsidTr="009F6E39">
        <w:trPr>
          <w:trHeight w:val="126"/>
        </w:trPr>
        <w:tc>
          <w:tcPr>
            <w:tcW w:w="3964" w:type="dxa"/>
            <w:vAlign w:val="center"/>
          </w:tcPr>
          <w:p w14:paraId="5A2CF9D9" w14:textId="77777777" w:rsidR="005D7423" w:rsidRPr="00C33258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>Job Grade</w:t>
            </w:r>
          </w:p>
        </w:tc>
        <w:tc>
          <w:tcPr>
            <w:tcW w:w="5245" w:type="dxa"/>
            <w:vAlign w:val="center"/>
          </w:tcPr>
          <w:p w14:paraId="0A79F0BF" w14:textId="1F3A1521" w:rsidR="005D7423" w:rsidRPr="00C33258" w:rsidRDefault="00200AA6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  <w:r w:rsidR="00450513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</w:tr>
      <w:tr w:rsidR="005D7423" w:rsidRPr="00C33258" w14:paraId="293AD45F" w14:textId="77777777" w:rsidTr="009F6E39">
        <w:trPr>
          <w:trHeight w:val="158"/>
        </w:trPr>
        <w:tc>
          <w:tcPr>
            <w:tcW w:w="3964" w:type="dxa"/>
            <w:vAlign w:val="center"/>
          </w:tcPr>
          <w:p w14:paraId="6CCE387F" w14:textId="77777777" w:rsidR="005D7423" w:rsidRPr="00C33258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5245" w:type="dxa"/>
            <w:vAlign w:val="center"/>
          </w:tcPr>
          <w:p w14:paraId="3E5A4CA3" w14:textId="77777777" w:rsidR="005D7423" w:rsidRPr="00C33258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Armscor Head Office</w:t>
            </w:r>
          </w:p>
        </w:tc>
      </w:tr>
    </w:tbl>
    <w:p w14:paraId="282789A6" w14:textId="77777777" w:rsidR="00EE6B75" w:rsidRDefault="00EE6B75" w:rsidP="00361B1A">
      <w:pPr>
        <w:jc w:val="both"/>
        <w:rPr>
          <w:rFonts w:ascii="Arial" w:hAnsi="Arial" w:cs="Arial"/>
          <w:b/>
          <w:bCs/>
        </w:rPr>
      </w:pPr>
    </w:p>
    <w:p w14:paraId="10DAF3B6" w14:textId="67CE7356" w:rsidR="00740F5C" w:rsidRDefault="004966F7" w:rsidP="00361B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ABOUT</w:t>
      </w:r>
      <w:r w:rsidR="0054578A" w:rsidRPr="00740F5C">
        <w:rPr>
          <w:rFonts w:ascii="Arial" w:hAnsi="Arial" w:cs="Arial"/>
          <w:b/>
          <w:bCs/>
        </w:rPr>
        <w:t xml:space="preserve"> THE JOB:</w:t>
      </w:r>
    </w:p>
    <w:p w14:paraId="375333F3" w14:textId="61D6A871" w:rsidR="00200AA6" w:rsidRDefault="00547AD8" w:rsidP="009C1E7C">
      <w:pPr>
        <w:rPr>
          <w:rFonts w:ascii="Arial" w:hAnsi="Arial" w:cs="Arial"/>
          <w:bCs/>
          <w:lang w:val="en-US"/>
        </w:rPr>
      </w:pPr>
      <w:r w:rsidRPr="00547AD8">
        <w:rPr>
          <w:rFonts w:ascii="Arial" w:hAnsi="Arial" w:cs="Arial"/>
          <w:bCs/>
          <w:lang w:val="en-US"/>
        </w:rPr>
        <w:t>To deliver sound project management, engineering, and technical services and advice for complex acquisition projects, ensuring capability alignment, technical assurance, and lifecycle value</w:t>
      </w:r>
      <w:r>
        <w:rPr>
          <w:rFonts w:ascii="Arial" w:hAnsi="Arial" w:cs="Arial"/>
          <w:bCs/>
          <w:lang w:val="en-US"/>
        </w:rPr>
        <w:t>.</w:t>
      </w:r>
    </w:p>
    <w:p w14:paraId="0308F47C" w14:textId="77777777" w:rsidR="00547AD8" w:rsidRDefault="00547AD8" w:rsidP="009C1E7C">
      <w:pPr>
        <w:rPr>
          <w:rFonts w:ascii="Arial" w:hAnsi="Arial" w:cs="Arial"/>
          <w:b/>
          <w:lang w:val="en-GB"/>
        </w:rPr>
      </w:pPr>
    </w:p>
    <w:p w14:paraId="1FB137D6" w14:textId="51ECD9FC" w:rsidR="00F6561A" w:rsidRPr="009C1E7C" w:rsidRDefault="009C1E7C" w:rsidP="00F6561A">
      <w:pPr>
        <w:rPr>
          <w:rFonts w:ascii="Arial" w:hAnsi="Arial" w:cs="Arial"/>
          <w:b/>
          <w:bCs/>
        </w:rPr>
      </w:pPr>
      <w:r w:rsidRPr="003A63F7">
        <w:rPr>
          <w:rFonts w:ascii="Arial" w:hAnsi="Arial" w:cs="Arial"/>
          <w:b/>
          <w:lang w:val="en-GB"/>
        </w:rPr>
        <w:t>QUALIFICATION</w:t>
      </w:r>
      <w:r w:rsidR="00F6561A">
        <w:rPr>
          <w:rFonts w:ascii="Arial" w:hAnsi="Arial" w:cs="Arial"/>
          <w:b/>
          <w:lang w:val="en-GB"/>
        </w:rPr>
        <w:t>S</w:t>
      </w:r>
    </w:p>
    <w:p w14:paraId="3D5F4EBE" w14:textId="053C0030" w:rsidR="00EA5980" w:rsidRPr="00EA5980" w:rsidRDefault="00EA5980" w:rsidP="00F6561A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Grade 12.</w:t>
      </w:r>
    </w:p>
    <w:p w14:paraId="00577897" w14:textId="670DF879" w:rsidR="00600A0D" w:rsidRDefault="00600A0D" w:rsidP="00600A0D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600A0D">
        <w:rPr>
          <w:rFonts w:ascii="Arial" w:hAnsi="Arial" w:cs="Arial"/>
          <w:bCs/>
          <w:sz w:val="22"/>
        </w:rPr>
        <w:t xml:space="preserve">BTech/ B.Sc. or B.Eng. in Electrical or Electronics Engineering. </w:t>
      </w:r>
    </w:p>
    <w:p w14:paraId="1E0216DF" w14:textId="73A72C62" w:rsidR="00422359" w:rsidRPr="00600A0D" w:rsidRDefault="00422359" w:rsidP="00600A0D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Postgraduate Degree in Project Management (Essential)</w:t>
      </w:r>
    </w:p>
    <w:p w14:paraId="1EA06C0A" w14:textId="3415798D" w:rsidR="003D11AB" w:rsidRPr="00F73A7F" w:rsidRDefault="003D11AB" w:rsidP="00F73A7F">
      <w:pPr>
        <w:pStyle w:val="ListParagraph"/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</w:rPr>
      </w:pPr>
    </w:p>
    <w:p w14:paraId="6F7F8D07" w14:textId="6919563D" w:rsidR="00B0292C" w:rsidRDefault="00B0292C" w:rsidP="00B0292C">
      <w:pPr>
        <w:spacing w:line="276" w:lineRule="auto"/>
        <w:contextualSpacing/>
        <w:jc w:val="both"/>
        <w:rPr>
          <w:rFonts w:ascii="Arial" w:hAnsi="Arial" w:cs="Arial"/>
          <w:b/>
          <w:lang w:val="en-GB"/>
        </w:rPr>
      </w:pPr>
      <w:r w:rsidRPr="00B0292C">
        <w:rPr>
          <w:rFonts w:ascii="Arial" w:hAnsi="Arial" w:cs="Arial"/>
          <w:b/>
          <w:lang w:val="en-GB"/>
        </w:rPr>
        <w:t>TECHNICAL / LEGAL CERTIFICATION / PROFESSIONAL REGISTRATION</w:t>
      </w:r>
    </w:p>
    <w:p w14:paraId="0AD7264E" w14:textId="224C7359" w:rsidR="00910DBA" w:rsidRPr="00220579" w:rsidRDefault="00B0292C" w:rsidP="00220579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B0292C">
        <w:rPr>
          <w:rFonts w:ascii="Arial" w:hAnsi="Arial" w:cs="Arial"/>
          <w:bCs/>
          <w:sz w:val="22"/>
        </w:rPr>
        <w:t>ECSA Registration (Essential)</w:t>
      </w:r>
      <w:r w:rsidR="00966C4F">
        <w:rPr>
          <w:rFonts w:ascii="Arial" w:hAnsi="Arial" w:cs="Arial"/>
          <w:bCs/>
          <w:sz w:val="22"/>
        </w:rPr>
        <w:t>.</w:t>
      </w:r>
    </w:p>
    <w:p w14:paraId="1611F07A" w14:textId="77777777" w:rsidR="00F6561A" w:rsidRDefault="00F6561A" w:rsidP="009C1E7C">
      <w:pPr>
        <w:rPr>
          <w:rFonts w:ascii="Arial" w:hAnsi="Arial" w:cs="Arial"/>
          <w:b/>
          <w:bCs/>
        </w:rPr>
      </w:pPr>
    </w:p>
    <w:p w14:paraId="0F171B3B" w14:textId="06737310" w:rsidR="009C1E7C" w:rsidRPr="003A63F7" w:rsidRDefault="00F6561A" w:rsidP="009C1E7C">
      <w:pPr>
        <w:rPr>
          <w:rFonts w:ascii="Arial" w:hAnsi="Arial" w:cs="Arial"/>
          <w:b/>
          <w:lang w:val="en-GB"/>
        </w:rPr>
      </w:pPr>
      <w:r w:rsidRPr="009C1E7C">
        <w:rPr>
          <w:rFonts w:ascii="Arial" w:hAnsi="Arial" w:cs="Arial"/>
          <w:b/>
          <w:bCs/>
        </w:rPr>
        <w:t>EXPERIENCE</w:t>
      </w:r>
    </w:p>
    <w:p w14:paraId="05F825E6" w14:textId="69DC5C5D" w:rsidR="00966C4F" w:rsidRPr="00966C4F" w:rsidRDefault="00966C4F" w:rsidP="00966C4F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966C4F">
        <w:rPr>
          <w:rFonts w:ascii="Arial" w:hAnsi="Arial" w:cs="Arial"/>
          <w:bCs/>
          <w:sz w:val="22"/>
        </w:rPr>
        <w:t>Minimum of 8 years’ relevant experience in engineering, engineering management, or technical acquisition, preferably within defence or complex public-sector environments.</w:t>
      </w:r>
    </w:p>
    <w:p w14:paraId="7AAA25B6" w14:textId="2F6FF685" w:rsidR="00966C4F" w:rsidRPr="00966C4F" w:rsidRDefault="00966C4F" w:rsidP="00966C4F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966C4F">
        <w:rPr>
          <w:rFonts w:ascii="Arial" w:hAnsi="Arial" w:cs="Arial"/>
          <w:bCs/>
          <w:sz w:val="22"/>
        </w:rPr>
        <w:t>Proven leadership in contract management and negotiation across the acquisition lifecycle.</w:t>
      </w:r>
    </w:p>
    <w:p w14:paraId="7AD2D8DC" w14:textId="644A8F07" w:rsidR="00966C4F" w:rsidRPr="00966C4F" w:rsidRDefault="00966C4F" w:rsidP="00966C4F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966C4F">
        <w:rPr>
          <w:rFonts w:ascii="Arial" w:hAnsi="Arial" w:cs="Arial"/>
          <w:bCs/>
          <w:sz w:val="22"/>
        </w:rPr>
        <w:t>Strong experience across the engineering lifecycle, including requirements, integration, verification, and lifecycle cost considerations.</w:t>
      </w:r>
    </w:p>
    <w:p w14:paraId="0F338664" w14:textId="55EFCE00" w:rsidR="00966C4F" w:rsidRPr="00966C4F" w:rsidRDefault="00966C4F" w:rsidP="00966C4F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966C4F">
        <w:rPr>
          <w:rFonts w:ascii="Arial" w:hAnsi="Arial" w:cs="Arial"/>
          <w:bCs/>
          <w:sz w:val="22"/>
        </w:rPr>
        <w:t>Demonstrated involvement in high-value acquisition and procurement processes.</w:t>
      </w:r>
    </w:p>
    <w:p w14:paraId="6B4CABD9" w14:textId="78FCD576" w:rsidR="00B0292C" w:rsidRPr="00966C4F" w:rsidRDefault="00966C4F" w:rsidP="00966C4F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966C4F">
        <w:rPr>
          <w:rFonts w:ascii="Arial" w:hAnsi="Arial" w:cs="Arial"/>
          <w:bCs/>
          <w:sz w:val="22"/>
        </w:rPr>
        <w:t>Sound knowledge of engineering governance, standards, and risk management, including application of international engineering standards (e.g., ISO 15288).</w:t>
      </w:r>
    </w:p>
    <w:p w14:paraId="7B578AC1" w14:textId="6CB7C0F7" w:rsidR="00D208BD" w:rsidRPr="000F79B5" w:rsidRDefault="00D208BD" w:rsidP="00B7004A">
      <w:pPr>
        <w:jc w:val="both"/>
        <w:rPr>
          <w:rFonts w:ascii="Arial" w:hAnsi="Arial" w:cs="Arial"/>
          <w:b/>
          <w:bCs/>
        </w:rPr>
      </w:pPr>
    </w:p>
    <w:p w14:paraId="7EBBFF70" w14:textId="70296AF7" w:rsidR="005D7423" w:rsidRPr="000F79B5" w:rsidRDefault="00AA7F10" w:rsidP="00B7004A">
      <w:pPr>
        <w:jc w:val="both"/>
        <w:rPr>
          <w:rFonts w:ascii="Arial" w:hAnsi="Arial" w:cs="Arial"/>
          <w:b/>
          <w:bCs/>
        </w:rPr>
      </w:pPr>
      <w:r w:rsidRPr="000F79B5">
        <w:rPr>
          <w:rFonts w:ascii="Arial" w:hAnsi="Arial" w:cs="Arial"/>
          <w:b/>
          <w:bCs/>
        </w:rPr>
        <w:t>CRITICAL PERFORMANCE AREAS</w:t>
      </w:r>
    </w:p>
    <w:p w14:paraId="7FF9804F" w14:textId="77777777" w:rsidR="009F6E39" w:rsidRPr="000F79B5" w:rsidRDefault="009F6E39" w:rsidP="00B7004A">
      <w:pPr>
        <w:jc w:val="both"/>
        <w:rPr>
          <w:rFonts w:ascii="Arial" w:hAnsi="Arial" w:cs="Arial"/>
          <w:b/>
          <w:bCs/>
        </w:rPr>
      </w:pPr>
    </w:p>
    <w:p w14:paraId="2B2AFC7E" w14:textId="77777777" w:rsidR="00B0292C" w:rsidRPr="00B0292C" w:rsidRDefault="00B0292C" w:rsidP="00B0292C">
      <w:pPr>
        <w:jc w:val="both"/>
        <w:rPr>
          <w:rFonts w:ascii="Arial" w:eastAsia="Calibri" w:hAnsi="Arial" w:cs="Arial"/>
          <w:lang w:val="en-GB" w:eastAsia="en-ZA"/>
        </w:rPr>
      </w:pPr>
      <w:r w:rsidRPr="00B0292C">
        <w:rPr>
          <w:rFonts w:ascii="Arial" w:hAnsi="Arial" w:cs="Arial"/>
          <w:b/>
          <w:lang w:val="en-GB"/>
        </w:rPr>
        <w:t>Lead the development of Engineering and Technical Requirements for complex acquisition projects to ensure fit-for-purpose solutions.</w:t>
      </w:r>
    </w:p>
    <w:p w14:paraId="565A2DC7" w14:textId="677E5465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Elicit, analy</w:t>
      </w:r>
      <w:r w:rsidR="00966C4F">
        <w:rPr>
          <w:rFonts w:ascii="Arial" w:hAnsi="Arial" w:cs="Arial"/>
          <w:sz w:val="22"/>
          <w:szCs w:val="22"/>
          <w:lang w:val="en-GB"/>
        </w:rPr>
        <w:t>s</w:t>
      </w:r>
      <w:r w:rsidRPr="00B0292C">
        <w:rPr>
          <w:rFonts w:ascii="Arial" w:hAnsi="Arial" w:cs="Arial"/>
          <w:sz w:val="22"/>
          <w:szCs w:val="22"/>
          <w:lang w:val="en-GB"/>
        </w:rPr>
        <w:t>e, and validate requirements to define specifications and use cases aligned with client needs.</w:t>
      </w:r>
    </w:p>
    <w:p w14:paraId="5C9B0D99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Define system architecture, interfaces, and integration points, producing diagrams and interface documents to minimize integration risks.</w:t>
      </w:r>
    </w:p>
    <w:p w14:paraId="43658C69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Identify, assess, and mitigate technical risks through risk registers and mitigation plans, reducing project delays and cost overruns.</w:t>
      </w:r>
    </w:p>
    <w:p w14:paraId="29C86C37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Ensure compliance with organizational, industry, and regulatory standards, producing audit-ready documentation.</w:t>
      </w:r>
    </w:p>
    <w:p w14:paraId="08EC4C2E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Develop and oversee verification and validation plans, ensuring requirements are measurable and achievable.</w:t>
      </w:r>
    </w:p>
    <w:p w14:paraId="6EFC30D0" w14:textId="7974FF10" w:rsidR="00200AA6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Provide actionable technical advice to support informed acquisition decisions and strengthen stakeholder confidence.</w:t>
      </w:r>
    </w:p>
    <w:p w14:paraId="186A0B1E" w14:textId="534070F1" w:rsid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6A39B0AE" w14:textId="423BE8F7" w:rsid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046EDB90" w14:textId="502EA83B" w:rsidR="00B0292C" w:rsidRDefault="00B0292C" w:rsidP="00B0292C">
      <w:pPr>
        <w:jc w:val="both"/>
        <w:rPr>
          <w:rFonts w:ascii="Arial" w:hAnsi="Arial" w:cs="Arial"/>
          <w:b/>
          <w:lang w:val="en-GB"/>
        </w:rPr>
      </w:pPr>
      <w:r w:rsidRPr="00B0292C">
        <w:rPr>
          <w:rFonts w:ascii="Arial" w:hAnsi="Arial" w:cs="Arial"/>
          <w:b/>
          <w:lang w:val="en-GB"/>
        </w:rPr>
        <w:t>Facilitate and lead project planning, execution, and technical governance for complex acquisition initiatives</w:t>
      </w:r>
    </w:p>
    <w:p w14:paraId="06089043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Develop detailed project plans aligned with acquisition lifecycle stages, resource allocation, and milestone tracking.</w:t>
      </w:r>
    </w:p>
    <w:p w14:paraId="1193067A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Conduct engineering and design reviews to ensure technical integrity, interoperability, and adherence to specifications.</w:t>
      </w:r>
    </w:p>
    <w:p w14:paraId="506C2945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Track project and engineering progress, providing governance-compliant reports and escalating issues impacting cost, schedule, or quality.</w:t>
      </w:r>
    </w:p>
    <w:p w14:paraId="607829AF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Facilitate engagement with management, contractors, and clients to ensure project objectives are understood and met.</w:t>
      </w:r>
    </w:p>
    <w:p w14:paraId="45F2E8C5" w14:textId="50EA106B" w:rsid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Identify, analy</w:t>
      </w:r>
      <w:r w:rsidR="00966C4F">
        <w:rPr>
          <w:rFonts w:ascii="Arial" w:hAnsi="Arial" w:cs="Arial"/>
          <w:sz w:val="22"/>
          <w:szCs w:val="22"/>
          <w:lang w:val="en-GB"/>
        </w:rPr>
        <w:t>s</w:t>
      </w:r>
      <w:r w:rsidRPr="00B0292C">
        <w:rPr>
          <w:rFonts w:ascii="Arial" w:hAnsi="Arial" w:cs="Arial"/>
          <w:sz w:val="22"/>
          <w:szCs w:val="22"/>
          <w:lang w:val="en-GB"/>
        </w:rPr>
        <w:t>e, and manage technical, operational, and schedule-related risks, implementing mitigation strategies.</w:t>
      </w:r>
    </w:p>
    <w:p w14:paraId="31C69A0D" w14:textId="1696049C" w:rsid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143B8827" w14:textId="77777777" w:rsidR="00966C4F" w:rsidRDefault="00966C4F" w:rsidP="00B0292C">
      <w:pPr>
        <w:jc w:val="both"/>
        <w:rPr>
          <w:rFonts w:ascii="Arial" w:hAnsi="Arial" w:cs="Arial"/>
          <w:lang w:val="en-GB"/>
        </w:rPr>
      </w:pPr>
    </w:p>
    <w:p w14:paraId="38A2B791" w14:textId="04A1D9D6" w:rsidR="00B0292C" w:rsidRPr="00B0292C" w:rsidRDefault="00B0292C" w:rsidP="00B0292C">
      <w:pPr>
        <w:jc w:val="both"/>
        <w:rPr>
          <w:rFonts w:ascii="Arial" w:hAnsi="Arial" w:cs="Arial"/>
          <w:lang w:val="en-GB"/>
        </w:rPr>
      </w:pPr>
      <w:r w:rsidRPr="00B0292C">
        <w:rPr>
          <w:rFonts w:ascii="Arial" w:hAnsi="Arial" w:cs="Arial"/>
          <w:b/>
          <w:bCs/>
        </w:rPr>
        <w:t>Advise on acquisition approaches, manage suppliers, and ensure cost-effective delivery of projects</w:t>
      </w:r>
    </w:p>
    <w:p w14:paraId="76C584B2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Recommend acquisition strategies based on project complexity, operational requirements, and risk profiles.</w:t>
      </w:r>
    </w:p>
    <w:p w14:paraId="12809495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Assess supplier technical capability, compliance, and reliability in consultation with SCM.</w:t>
      </w:r>
    </w:p>
    <w:p w14:paraId="69D0CB9A" w14:textId="77777777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Lead negotiations, enforce contractual obligations, and safeguard organizational interests.</w:t>
      </w:r>
    </w:p>
    <w:p w14:paraId="0A1FCAFC" w14:textId="7EB7A280" w:rsid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Monitor supplier performance, deliverables, and timelines to maintain project standards.</w:t>
      </w:r>
    </w:p>
    <w:p w14:paraId="65E2167D" w14:textId="6912EB0A" w:rsid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15CFCA62" w14:textId="5F93CCB8" w:rsid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620CC062" w14:textId="77777777" w:rsidR="00B0292C" w:rsidRPr="00B0292C" w:rsidRDefault="00B0292C" w:rsidP="00B0292C">
      <w:pPr>
        <w:jc w:val="both"/>
        <w:rPr>
          <w:rFonts w:ascii="Arial" w:hAnsi="Arial" w:cs="Arial"/>
          <w:b/>
          <w:bCs/>
        </w:rPr>
      </w:pPr>
      <w:r w:rsidRPr="00B0292C">
        <w:rPr>
          <w:rFonts w:ascii="Arial" w:hAnsi="Arial" w:cs="Arial"/>
          <w:b/>
          <w:bCs/>
        </w:rPr>
        <w:t>Serve as a subject matter expert in acquisition forums to enable robust governance and informed decision-making</w:t>
      </w:r>
    </w:p>
    <w:p w14:paraId="1E3D6B03" w14:textId="5ABCF579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Lead technical evaluations, design reviews, and assessments of proposals or deliverables.</w:t>
      </w:r>
    </w:p>
    <w:p w14:paraId="353F0BC9" w14:textId="04F3B458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Ensure all technical decisions comply with defen</w:t>
      </w:r>
      <w:r w:rsidR="00966C4F">
        <w:rPr>
          <w:rFonts w:ascii="Arial" w:hAnsi="Arial" w:cs="Arial"/>
          <w:sz w:val="22"/>
          <w:szCs w:val="22"/>
          <w:lang w:val="en-GB"/>
        </w:rPr>
        <w:t>c</w:t>
      </w:r>
      <w:r w:rsidRPr="00B0292C">
        <w:rPr>
          <w:rFonts w:ascii="Arial" w:hAnsi="Arial" w:cs="Arial"/>
          <w:sz w:val="22"/>
          <w:szCs w:val="22"/>
          <w:lang w:val="en-GB"/>
        </w:rPr>
        <w:t>e regulations, industry best practices, and organizational policies.</w:t>
      </w:r>
    </w:p>
    <w:p w14:paraId="4EB3F29D" w14:textId="36B7479B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Maintain evaluation evidence to support internal and external audits, reviews, and inspections.</w:t>
      </w:r>
    </w:p>
    <w:p w14:paraId="686F4DA5" w14:textId="0D5E2A2D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Identify technical risks and deviations, recommending mitigation strategies to decision-making bodies.</w:t>
      </w:r>
    </w:p>
    <w:p w14:paraId="1102A044" w14:textId="510C94E1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Present findings and recommendations to project sponsors, steering committees, and operational units.</w:t>
      </w:r>
    </w:p>
    <w:p w14:paraId="6AB85101" w14:textId="77777777" w:rsidR="00B0292C" w:rsidRPr="00B0292C" w:rsidRDefault="00B0292C" w:rsidP="00B0292C">
      <w:pPr>
        <w:jc w:val="both"/>
        <w:rPr>
          <w:rFonts w:ascii="Arial" w:hAnsi="Arial" w:cs="Arial"/>
          <w:lang w:val="en-GB"/>
        </w:rPr>
      </w:pPr>
    </w:p>
    <w:p w14:paraId="2CCB04B4" w14:textId="77777777" w:rsidR="00B0292C" w:rsidRPr="00B0292C" w:rsidRDefault="00B0292C" w:rsidP="00B0292C">
      <w:pPr>
        <w:jc w:val="both"/>
        <w:rPr>
          <w:rFonts w:ascii="Arial" w:hAnsi="Arial" w:cs="Arial"/>
          <w:b/>
          <w:bCs/>
          <w:lang w:val="en-GB"/>
        </w:rPr>
      </w:pPr>
      <w:r w:rsidRPr="00B0292C">
        <w:rPr>
          <w:rFonts w:ascii="Arial" w:hAnsi="Arial" w:cs="Arial"/>
          <w:b/>
          <w:bCs/>
          <w:lang w:val="en-GB"/>
        </w:rPr>
        <w:t>Build organizational engineering and acquisition capability through innovation, mentorship, and thought leadership.</w:t>
      </w:r>
    </w:p>
    <w:p w14:paraId="0380497B" w14:textId="65657E3E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Stay abreast of global engineering trends, standards, and digital engineering ecosystems impacting defen</w:t>
      </w:r>
      <w:r w:rsidR="00966C4F">
        <w:rPr>
          <w:rFonts w:ascii="Arial" w:hAnsi="Arial" w:cs="Arial"/>
          <w:sz w:val="22"/>
          <w:szCs w:val="22"/>
          <w:lang w:val="en-GB"/>
        </w:rPr>
        <w:t>c</w:t>
      </w:r>
      <w:r w:rsidRPr="00B0292C">
        <w:rPr>
          <w:rFonts w:ascii="Arial" w:hAnsi="Arial" w:cs="Arial"/>
          <w:sz w:val="22"/>
          <w:szCs w:val="22"/>
          <w:lang w:val="en-GB"/>
        </w:rPr>
        <w:t>e acquisition.</w:t>
      </w:r>
    </w:p>
    <w:p w14:paraId="6B8FB039" w14:textId="587B48C1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Advise executive stakeholders on advanced engineering tools, frameworks, and predictive analytics to improve decision-making.</w:t>
      </w:r>
    </w:p>
    <w:p w14:paraId="026871EC" w14:textId="62922FAC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Lead knowledge transfer and technical coaching programs to develop systems thinking and acquisition literacy.</w:t>
      </w:r>
    </w:p>
    <w:p w14:paraId="442194BF" w14:textId="1832B39E" w:rsidR="00B0292C" w:rsidRPr="00B0292C" w:rsidRDefault="00B0292C" w:rsidP="00B029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0292C">
        <w:rPr>
          <w:rFonts w:ascii="Arial" w:hAnsi="Arial" w:cs="Arial"/>
          <w:sz w:val="22"/>
          <w:szCs w:val="22"/>
          <w:lang w:val="en-GB"/>
        </w:rPr>
        <w:t>Drive initiatives that embed a culture of engineering excellence, contributing to capability roadmaps and acquisition maturity models.</w:t>
      </w:r>
    </w:p>
    <w:p w14:paraId="6E48B3CE" w14:textId="77777777" w:rsidR="000F79B5" w:rsidRPr="000F79B5" w:rsidRDefault="000F79B5" w:rsidP="000F79B5">
      <w:pPr>
        <w:jc w:val="both"/>
        <w:rPr>
          <w:rFonts w:ascii="Arial" w:hAnsi="Arial" w:cs="Arial"/>
          <w:lang w:val="en-GB"/>
        </w:rPr>
      </w:pPr>
    </w:p>
    <w:p w14:paraId="6251902E" w14:textId="77777777" w:rsidR="00210C1F" w:rsidRPr="000F79B5" w:rsidRDefault="00AB0421" w:rsidP="00210C1F">
      <w:pPr>
        <w:keepNext/>
        <w:tabs>
          <w:tab w:val="center" w:pos="599"/>
          <w:tab w:val="center" w:pos="4320"/>
          <w:tab w:val="right" w:pos="8306"/>
          <w:tab w:val="right" w:pos="8640"/>
        </w:tabs>
        <w:spacing w:line="200" w:lineRule="atLeast"/>
        <w:contextualSpacing/>
        <w:jc w:val="both"/>
        <w:outlineLvl w:val="2"/>
        <w:rPr>
          <w:rFonts w:ascii="Arial" w:eastAsia="Times New Roman" w:hAnsi="Arial" w:cs="Arial"/>
          <w:color w:val="000000"/>
        </w:rPr>
      </w:pPr>
      <w:r w:rsidRPr="000F79B5">
        <w:rPr>
          <w:rFonts w:ascii="Arial" w:hAnsi="Arial" w:cs="Arial"/>
          <w:b/>
          <w:bCs/>
          <w:u w:val="single"/>
        </w:rPr>
        <w:t>KNOWLEDGE &amp; FUNCTIONAL SKILLS</w:t>
      </w:r>
      <w:r w:rsidR="00AA7F10" w:rsidRPr="000F79B5">
        <w:rPr>
          <w:rFonts w:ascii="Arial" w:hAnsi="Arial" w:cs="Arial"/>
          <w:b/>
          <w:bCs/>
          <w:u w:val="single"/>
        </w:rPr>
        <w:t>:</w:t>
      </w:r>
      <w:r w:rsidR="00AA7F10" w:rsidRPr="000F79B5">
        <w:rPr>
          <w:rFonts w:ascii="Arial" w:hAnsi="Arial" w:cs="Arial"/>
          <w:u w:val="single"/>
        </w:rPr>
        <w:t xml:space="preserve"> </w:t>
      </w:r>
    </w:p>
    <w:p w14:paraId="010F143F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Deep, applied expertise in engineering principles, lifecycle processes, and standards, with proven ability to translate theory into actionable solutions for complex, high-risk acquisition programs, ensuring successful project execution.</w:t>
      </w:r>
    </w:p>
    <w:p w14:paraId="3A886511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lastRenderedPageBreak/>
        <w:t>Advanced knowledge of defence and complex acquisition management frameworks, including Smart Buyer principles and capital acquisition governance, enabling effective oversight, compliance, and decision-making across large-scale programs.</w:t>
      </w:r>
    </w:p>
    <w:p w14:paraId="1D9A0F27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Extensive experience in developing specifications, tailoring technical requirements, and managing contracting processes, applicable to both complex and non-complex systems, platforms, and integrated solutions.</w:t>
      </w:r>
    </w:p>
    <w:p w14:paraId="3A43FF2B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Comprehensive understanding of regulatory and compliance frameworks (e.g., PFMA, Defence Regulations, ISO quality standards), with practical application to maintain accountability, minimize risk, and avoid project delays.</w:t>
      </w:r>
    </w:p>
    <w:p w14:paraId="5DA0F0B5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Strategic awareness of national and international best practices, emerging technologies, and trends in systems engineering, enabling continuous improvement, innovation, and forward-looking solutions.</w:t>
      </w:r>
    </w:p>
    <w:p w14:paraId="4D874E3E" w14:textId="77777777" w:rsidR="000F79B5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Proven problem-solving capability, able to identify and resolve technical, operational, and schedule-related challenges independently, ensuring projects remain on track despite high complexity or risk.</w:t>
      </w:r>
    </w:p>
    <w:p w14:paraId="38FF605B" w14:textId="60C67FA3" w:rsidR="00315C83" w:rsidRPr="000F79B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F79B5">
        <w:rPr>
          <w:rFonts w:ascii="Arial" w:hAnsi="Arial" w:cs="Arial"/>
          <w:sz w:val="22"/>
          <w:szCs w:val="22"/>
          <w:lang w:val="en-GB"/>
        </w:rPr>
        <w:t>Expertise in reporting and technical writing, producing clear, accurate, and governance-compliant documentation, reports, and briefings to support decision-making and provide transparency to stakeholder.</w:t>
      </w:r>
    </w:p>
    <w:p w14:paraId="3A1B74B2" w14:textId="77777777" w:rsidR="000F79B5" w:rsidRPr="000F79B5" w:rsidRDefault="000F79B5" w:rsidP="000F79B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6D256A50" w14:textId="411AB6B0" w:rsidR="00AA7F10" w:rsidRPr="000F79B5" w:rsidRDefault="00AA7F10" w:rsidP="00E914E5">
      <w:pPr>
        <w:snapToGrid w:val="0"/>
        <w:rPr>
          <w:rFonts w:ascii="Arial" w:hAnsi="Arial" w:cs="Arial"/>
          <w:b/>
          <w:bCs/>
          <w:lang w:val="en-GB"/>
        </w:rPr>
      </w:pPr>
      <w:r w:rsidRPr="000F79B5">
        <w:rPr>
          <w:rFonts w:ascii="Arial" w:hAnsi="Arial" w:cs="Arial"/>
          <w:b/>
          <w:bCs/>
          <w:lang w:val="en-GB"/>
        </w:rPr>
        <w:t xml:space="preserve">To apply, send your </w:t>
      </w:r>
      <w:r w:rsidR="00740F5C" w:rsidRPr="000F79B5">
        <w:rPr>
          <w:rFonts w:ascii="Arial" w:hAnsi="Arial" w:cs="Arial"/>
          <w:b/>
          <w:bCs/>
          <w:lang w:val="en-GB"/>
        </w:rPr>
        <w:t>Curriculum Vitae</w:t>
      </w:r>
      <w:r w:rsidRPr="000F79B5">
        <w:rPr>
          <w:rFonts w:ascii="Arial" w:hAnsi="Arial" w:cs="Arial"/>
          <w:b/>
          <w:bCs/>
          <w:lang w:val="en-GB"/>
        </w:rPr>
        <w:t xml:space="preserve"> to </w:t>
      </w:r>
      <w:hyperlink r:id="rId11" w:history="1">
        <w:r w:rsidR="00220579" w:rsidRPr="00CE425B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</w:p>
    <w:p w14:paraId="0A9B1322" w14:textId="77777777" w:rsidR="00B7004A" w:rsidRPr="000F79B5" w:rsidRDefault="00B7004A" w:rsidP="00E914E5">
      <w:pPr>
        <w:rPr>
          <w:rFonts w:ascii="Arial" w:hAnsi="Arial" w:cs="Arial"/>
          <w:b/>
          <w:bCs/>
          <w:i/>
          <w:iCs/>
          <w:lang w:val="en-GB"/>
        </w:rPr>
      </w:pPr>
    </w:p>
    <w:p w14:paraId="4F6C7A8B" w14:textId="477C677D" w:rsidR="00AA7F10" w:rsidRPr="000F79B5" w:rsidRDefault="00AA7F10" w:rsidP="00E914E5">
      <w:pPr>
        <w:rPr>
          <w:rFonts w:ascii="Arial" w:hAnsi="Arial" w:cs="Arial"/>
          <w:b/>
          <w:bCs/>
          <w:i/>
          <w:iCs/>
          <w:lang w:val="en-GB"/>
        </w:rPr>
      </w:pPr>
      <w:r w:rsidRPr="000F79B5">
        <w:rPr>
          <w:rFonts w:ascii="Arial" w:hAnsi="Arial" w:cs="Arial"/>
          <w:b/>
          <w:bCs/>
          <w:i/>
          <w:iCs/>
          <w:lang w:val="en-GB"/>
        </w:rPr>
        <w:t>NB: All applicants must indicate reference number of the position they are applying for in the subject heading.</w:t>
      </w:r>
    </w:p>
    <w:p w14:paraId="0FA60D87" w14:textId="77777777" w:rsidR="00AA7F10" w:rsidRPr="000F79B5" w:rsidRDefault="00AA7F10" w:rsidP="00E914E5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70619E26" w14:textId="77777777" w:rsidR="00AA7F10" w:rsidRPr="000F79B5" w:rsidRDefault="00AA7F10" w:rsidP="004478A9">
      <w:pPr>
        <w:rPr>
          <w:rFonts w:ascii="Arial" w:hAnsi="Arial" w:cs="Arial"/>
          <w:b/>
          <w:bCs/>
          <w:i/>
          <w:iCs/>
          <w:lang w:val="en-GB"/>
        </w:rPr>
      </w:pPr>
      <w:r w:rsidRPr="000F79B5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</w:t>
      </w:r>
      <w:proofErr w:type="spellStart"/>
      <w:r w:rsidRPr="000F79B5">
        <w:rPr>
          <w:rFonts w:ascii="Arial" w:hAnsi="Arial" w:cs="Arial"/>
          <w:lang w:val="en-GB"/>
        </w:rPr>
        <w:t>Armscor’s</w:t>
      </w:r>
      <w:proofErr w:type="spellEnd"/>
      <w:r w:rsidRPr="000F79B5">
        <w:rPr>
          <w:rFonts w:ascii="Arial" w:hAnsi="Arial" w:cs="Arial"/>
          <w:lang w:val="en-GB"/>
        </w:rPr>
        <w:t xml:space="preserve"> commitment to compliance with the Employment Equity Act, preference will be given to suitable candidates from designated groups.  </w:t>
      </w:r>
      <w:r w:rsidRPr="000F79B5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6BFD1B27" w14:textId="77777777" w:rsidR="00AA7F10" w:rsidRPr="000F79B5" w:rsidRDefault="00AA7F10" w:rsidP="004478A9">
      <w:pPr>
        <w:rPr>
          <w:rFonts w:ascii="Arial" w:hAnsi="Arial" w:cs="Arial"/>
          <w:lang w:val="en-GB"/>
        </w:rPr>
      </w:pPr>
    </w:p>
    <w:p w14:paraId="6807910A" w14:textId="142A2FF5" w:rsidR="00AA7F10" w:rsidRPr="000F79B5" w:rsidRDefault="00AA7F10" w:rsidP="004478A9">
      <w:pPr>
        <w:rPr>
          <w:rFonts w:ascii="Arial" w:hAnsi="Arial" w:cs="Arial"/>
          <w:lang w:val="en-GB"/>
        </w:rPr>
      </w:pPr>
      <w:r w:rsidRPr="000F79B5">
        <w:rPr>
          <w:rFonts w:ascii="Arial" w:hAnsi="Arial" w:cs="Arial"/>
          <w:lang w:val="en-GB"/>
        </w:rPr>
        <w:t>The closing date for applications is</w:t>
      </w:r>
      <w:r w:rsidR="00D208BD" w:rsidRPr="000F79B5">
        <w:rPr>
          <w:rFonts w:ascii="Arial" w:hAnsi="Arial" w:cs="Arial"/>
          <w:lang w:val="en-GB"/>
        </w:rPr>
        <w:t xml:space="preserve"> </w:t>
      </w:r>
      <w:r w:rsidR="00220579">
        <w:rPr>
          <w:rFonts w:ascii="Arial" w:hAnsi="Arial" w:cs="Arial"/>
          <w:b/>
          <w:lang w:val="en-GB"/>
        </w:rPr>
        <w:t>18 March 2026</w:t>
      </w:r>
      <w:r w:rsidRPr="000F79B5">
        <w:rPr>
          <w:rFonts w:ascii="Arial" w:hAnsi="Arial" w:cs="Arial"/>
          <w:lang w:val="en-GB"/>
        </w:rPr>
        <w:t>.  Late applications will not be considered.</w:t>
      </w:r>
    </w:p>
    <w:p w14:paraId="05541FCD" w14:textId="77777777" w:rsidR="00AA7F10" w:rsidRPr="000F79B5" w:rsidRDefault="00AA7F10" w:rsidP="00AA7F10">
      <w:pPr>
        <w:jc w:val="both"/>
        <w:rPr>
          <w:rFonts w:ascii="Arial" w:hAnsi="Arial" w:cs="Arial"/>
          <w:lang w:val="en-GB"/>
        </w:rPr>
      </w:pPr>
    </w:p>
    <w:p w14:paraId="0754B5EC" w14:textId="2C31736A" w:rsidR="00AA7F10" w:rsidRPr="000F79B5" w:rsidRDefault="00AA7F10" w:rsidP="00AA7F10">
      <w:pPr>
        <w:jc w:val="both"/>
        <w:rPr>
          <w:rFonts w:ascii="Arial" w:hAnsi="Arial" w:cs="Arial"/>
          <w:b/>
          <w:bCs/>
          <w:lang w:val="en-GB"/>
        </w:rPr>
      </w:pPr>
      <w:r w:rsidRPr="000F79B5">
        <w:rPr>
          <w:rFonts w:ascii="Arial" w:hAnsi="Arial" w:cs="Arial"/>
          <w:b/>
          <w:bCs/>
          <w:lang w:val="en-GB"/>
        </w:rPr>
        <w:t xml:space="preserve">Enquiries: </w:t>
      </w:r>
      <w:r w:rsidR="00247695" w:rsidRPr="000F79B5">
        <w:rPr>
          <w:rFonts w:ascii="Arial" w:hAnsi="Arial" w:cs="Arial"/>
          <w:b/>
          <w:bCs/>
          <w:lang w:val="en-GB"/>
        </w:rPr>
        <w:t xml:space="preserve">Ms </w:t>
      </w:r>
      <w:r w:rsidR="009F6E39" w:rsidRPr="000F79B5">
        <w:rPr>
          <w:rFonts w:ascii="Arial" w:hAnsi="Arial" w:cs="Arial"/>
          <w:b/>
          <w:bCs/>
          <w:lang w:val="en-GB"/>
        </w:rPr>
        <w:t>Dineo Bopape</w:t>
      </w:r>
      <w:r w:rsidR="00CE72EA" w:rsidRPr="000F79B5">
        <w:rPr>
          <w:rFonts w:ascii="Arial" w:hAnsi="Arial" w:cs="Arial"/>
          <w:b/>
          <w:bCs/>
          <w:lang w:val="en-GB"/>
        </w:rPr>
        <w:t xml:space="preserve"> (012 428 2</w:t>
      </w:r>
      <w:r w:rsidR="00E05E2F" w:rsidRPr="000F79B5">
        <w:rPr>
          <w:rFonts w:ascii="Arial" w:hAnsi="Arial" w:cs="Arial"/>
          <w:b/>
          <w:bCs/>
          <w:lang w:val="en-GB"/>
        </w:rPr>
        <w:t>4</w:t>
      </w:r>
      <w:r w:rsidR="00E914E5" w:rsidRPr="000F79B5">
        <w:rPr>
          <w:rFonts w:ascii="Arial" w:hAnsi="Arial" w:cs="Arial"/>
          <w:b/>
          <w:bCs/>
          <w:lang w:val="en-GB"/>
        </w:rPr>
        <w:t>12</w:t>
      </w:r>
      <w:r w:rsidR="00CE72EA" w:rsidRPr="000F79B5">
        <w:rPr>
          <w:rFonts w:ascii="Arial" w:hAnsi="Arial" w:cs="Arial"/>
          <w:b/>
          <w:bCs/>
          <w:lang w:val="en-GB"/>
        </w:rPr>
        <w:t xml:space="preserve">) </w:t>
      </w:r>
    </w:p>
    <w:p w14:paraId="57D3C5EC" w14:textId="77777777" w:rsidR="00AA7F10" w:rsidRPr="000F79B5" w:rsidRDefault="00AA7F10" w:rsidP="0054578A">
      <w:pPr>
        <w:jc w:val="both"/>
        <w:rPr>
          <w:rFonts w:ascii="Arial" w:hAnsi="Arial" w:cs="Arial"/>
        </w:rPr>
      </w:pPr>
    </w:p>
    <w:p w14:paraId="725CC87F" w14:textId="77777777" w:rsidR="00AA7F10" w:rsidRPr="000F79B5" w:rsidRDefault="00AA7F10" w:rsidP="0054578A">
      <w:pPr>
        <w:jc w:val="both"/>
        <w:rPr>
          <w:rFonts w:ascii="Arial" w:hAnsi="Arial" w:cs="Arial"/>
        </w:rPr>
      </w:pPr>
    </w:p>
    <w:sectPr w:rsidR="00AA7F10" w:rsidRPr="000F79B5" w:rsidSect="00473763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266F" w14:textId="77777777" w:rsidR="002D1892" w:rsidRDefault="002D1892" w:rsidP="00020491">
      <w:r>
        <w:separator/>
      </w:r>
    </w:p>
  </w:endnote>
  <w:endnote w:type="continuationSeparator" w:id="0">
    <w:p w14:paraId="33E7CB53" w14:textId="77777777" w:rsidR="002D1892" w:rsidRDefault="002D1892" w:rsidP="000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10D4" w14:textId="77777777" w:rsidR="002D1892" w:rsidRDefault="002D1892" w:rsidP="00020491">
      <w:r>
        <w:separator/>
      </w:r>
    </w:p>
  </w:footnote>
  <w:footnote w:type="continuationSeparator" w:id="0">
    <w:p w14:paraId="01B47F5F" w14:textId="77777777" w:rsidR="002D1892" w:rsidRDefault="002D1892" w:rsidP="0002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1"/>
    <w:multiLevelType w:val="hybridMultilevel"/>
    <w:tmpl w:val="40AA37FA"/>
    <w:lvl w:ilvl="0" w:tplc="DD942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B68"/>
    <w:multiLevelType w:val="hybridMultilevel"/>
    <w:tmpl w:val="CBDAE4D8"/>
    <w:lvl w:ilvl="0" w:tplc="D4B24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AE9"/>
    <w:multiLevelType w:val="hybridMultilevel"/>
    <w:tmpl w:val="0082D9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0AD"/>
    <w:multiLevelType w:val="hybridMultilevel"/>
    <w:tmpl w:val="3A4AA6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95EC5"/>
    <w:multiLevelType w:val="hybridMultilevel"/>
    <w:tmpl w:val="C66E0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0E8C"/>
    <w:multiLevelType w:val="hybridMultilevel"/>
    <w:tmpl w:val="A4223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717A9"/>
    <w:multiLevelType w:val="hybridMultilevel"/>
    <w:tmpl w:val="B888B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29E4"/>
    <w:multiLevelType w:val="hybridMultilevel"/>
    <w:tmpl w:val="91AC1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1D15C4"/>
    <w:multiLevelType w:val="hybridMultilevel"/>
    <w:tmpl w:val="8AC2A7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1A55"/>
    <w:multiLevelType w:val="hybridMultilevel"/>
    <w:tmpl w:val="EEE67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20491"/>
    <w:rsid w:val="00065D1D"/>
    <w:rsid w:val="00066DD5"/>
    <w:rsid w:val="00074AD7"/>
    <w:rsid w:val="000956CB"/>
    <w:rsid w:val="000A1C81"/>
    <w:rsid w:val="000F773E"/>
    <w:rsid w:val="000F79B5"/>
    <w:rsid w:val="00151278"/>
    <w:rsid w:val="00181F7C"/>
    <w:rsid w:val="001961BB"/>
    <w:rsid w:val="001E1889"/>
    <w:rsid w:val="00200AA6"/>
    <w:rsid w:val="00207496"/>
    <w:rsid w:val="00210C1F"/>
    <w:rsid w:val="00220579"/>
    <w:rsid w:val="00247695"/>
    <w:rsid w:val="0025693B"/>
    <w:rsid w:val="002728B3"/>
    <w:rsid w:val="00285B5A"/>
    <w:rsid w:val="002B0A3D"/>
    <w:rsid w:val="002C246F"/>
    <w:rsid w:val="002D1892"/>
    <w:rsid w:val="002D35E9"/>
    <w:rsid w:val="002F0C88"/>
    <w:rsid w:val="003027B8"/>
    <w:rsid w:val="00315C83"/>
    <w:rsid w:val="00340659"/>
    <w:rsid w:val="00361B1A"/>
    <w:rsid w:val="003A63F7"/>
    <w:rsid w:val="003D11AB"/>
    <w:rsid w:val="00422359"/>
    <w:rsid w:val="004242B1"/>
    <w:rsid w:val="00426AAC"/>
    <w:rsid w:val="004478A9"/>
    <w:rsid w:val="00450513"/>
    <w:rsid w:val="00473763"/>
    <w:rsid w:val="00474F00"/>
    <w:rsid w:val="00480800"/>
    <w:rsid w:val="004966F7"/>
    <w:rsid w:val="004A3F06"/>
    <w:rsid w:val="004D5D7F"/>
    <w:rsid w:val="00514F69"/>
    <w:rsid w:val="0054578A"/>
    <w:rsid w:val="005466F6"/>
    <w:rsid w:val="00547AD8"/>
    <w:rsid w:val="005531D7"/>
    <w:rsid w:val="005C0834"/>
    <w:rsid w:val="005D5303"/>
    <w:rsid w:val="005D5FB8"/>
    <w:rsid w:val="005D7423"/>
    <w:rsid w:val="005E7232"/>
    <w:rsid w:val="005F28D6"/>
    <w:rsid w:val="005F701F"/>
    <w:rsid w:val="00600A0D"/>
    <w:rsid w:val="006501F6"/>
    <w:rsid w:val="006A5379"/>
    <w:rsid w:val="006A7685"/>
    <w:rsid w:val="006B63EF"/>
    <w:rsid w:val="006D27CE"/>
    <w:rsid w:val="00701418"/>
    <w:rsid w:val="00740F5C"/>
    <w:rsid w:val="007618DA"/>
    <w:rsid w:val="007747F1"/>
    <w:rsid w:val="0084070A"/>
    <w:rsid w:val="00841E68"/>
    <w:rsid w:val="00874E92"/>
    <w:rsid w:val="008812A9"/>
    <w:rsid w:val="008D0A34"/>
    <w:rsid w:val="008D728A"/>
    <w:rsid w:val="00910DBA"/>
    <w:rsid w:val="0091679B"/>
    <w:rsid w:val="00957316"/>
    <w:rsid w:val="00960C06"/>
    <w:rsid w:val="009667F2"/>
    <w:rsid w:val="00966C4F"/>
    <w:rsid w:val="00967AC4"/>
    <w:rsid w:val="00993CE5"/>
    <w:rsid w:val="009C1E7C"/>
    <w:rsid w:val="009D32CE"/>
    <w:rsid w:val="009F6E39"/>
    <w:rsid w:val="00A44962"/>
    <w:rsid w:val="00A80293"/>
    <w:rsid w:val="00A8556E"/>
    <w:rsid w:val="00AA05E4"/>
    <w:rsid w:val="00AA11DD"/>
    <w:rsid w:val="00AA7F10"/>
    <w:rsid w:val="00AB0421"/>
    <w:rsid w:val="00AF434E"/>
    <w:rsid w:val="00AF4AC9"/>
    <w:rsid w:val="00AF4C27"/>
    <w:rsid w:val="00B0292C"/>
    <w:rsid w:val="00B079ED"/>
    <w:rsid w:val="00B7004A"/>
    <w:rsid w:val="00B851DD"/>
    <w:rsid w:val="00BA4D0D"/>
    <w:rsid w:val="00BE048F"/>
    <w:rsid w:val="00C16243"/>
    <w:rsid w:val="00C526AF"/>
    <w:rsid w:val="00CA4AF1"/>
    <w:rsid w:val="00CA7296"/>
    <w:rsid w:val="00CC067F"/>
    <w:rsid w:val="00CC6868"/>
    <w:rsid w:val="00CC6B4A"/>
    <w:rsid w:val="00CE72EA"/>
    <w:rsid w:val="00D04E0E"/>
    <w:rsid w:val="00D1528C"/>
    <w:rsid w:val="00D208BD"/>
    <w:rsid w:val="00D47370"/>
    <w:rsid w:val="00D55E99"/>
    <w:rsid w:val="00D616A1"/>
    <w:rsid w:val="00D6371C"/>
    <w:rsid w:val="00D71F82"/>
    <w:rsid w:val="00D83D8C"/>
    <w:rsid w:val="00D852BD"/>
    <w:rsid w:val="00DA0399"/>
    <w:rsid w:val="00E045C1"/>
    <w:rsid w:val="00E05E2F"/>
    <w:rsid w:val="00E06020"/>
    <w:rsid w:val="00E1604F"/>
    <w:rsid w:val="00E229DC"/>
    <w:rsid w:val="00E45B00"/>
    <w:rsid w:val="00E914E5"/>
    <w:rsid w:val="00EA5980"/>
    <w:rsid w:val="00EA5B19"/>
    <w:rsid w:val="00ED0468"/>
    <w:rsid w:val="00EE0832"/>
    <w:rsid w:val="00EE6B75"/>
    <w:rsid w:val="00F02E30"/>
    <w:rsid w:val="00F112F6"/>
    <w:rsid w:val="00F1761C"/>
    <w:rsid w:val="00F229D9"/>
    <w:rsid w:val="00F23C5A"/>
    <w:rsid w:val="00F6561A"/>
    <w:rsid w:val="00F73A7F"/>
    <w:rsid w:val="00FA38EC"/>
    <w:rsid w:val="00FA53C4"/>
    <w:rsid w:val="00FB4702"/>
    <w:rsid w:val="00FB4A4B"/>
    <w:rsid w:val="00FC2B5D"/>
    <w:rsid w:val="00FD419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9257A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AA7F10"/>
    <w:rPr>
      <w:color w:val="0000FF"/>
      <w:u w:val="single"/>
    </w:rPr>
  </w:style>
  <w:style w:type="table" w:styleId="TableGrid">
    <w:name w:val="Table Grid"/>
    <w:basedOn w:val="TableNormal"/>
    <w:rsid w:val="00CA729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91"/>
    <w:rPr>
      <w:rFonts w:ascii="Calibri" w:hAnsi="Calibri" w:cs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91"/>
    <w:rPr>
      <w:rFonts w:ascii="Calibri" w:hAnsi="Calibri" w:cs="Calibri"/>
      <w:color w:val="auto"/>
    </w:rPr>
  </w:style>
  <w:style w:type="character" w:styleId="CommentReference">
    <w:name w:val="annotation reference"/>
    <w:rsid w:val="00020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4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20491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1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8C"/>
    <w:rPr>
      <w:rFonts w:ascii="Calibri" w:eastAsiaTheme="minorHAnsi" w:hAnsi="Calibri" w:cs="Calibr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8C"/>
    <w:rPr>
      <w:rFonts w:ascii="Calibri" w:eastAsia="Times New Roman" w:hAnsi="Calibri" w:cs="Calibri"/>
      <w:b/>
      <w:bCs/>
      <w:color w:val="auto"/>
      <w:sz w:val="20"/>
      <w:szCs w:val="20"/>
      <w:lang w:val="en-US"/>
    </w:rPr>
  </w:style>
  <w:style w:type="paragraph" w:customStyle="1" w:styleId="Bullet1">
    <w:name w:val="Bullet_1"/>
    <w:basedOn w:val="Normal"/>
    <w:rsid w:val="00D208BD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0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ancies@armscor.co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Props1.xml><?xml version="1.0" encoding="utf-8"?>
<ds:datastoreItem xmlns:ds="http://schemas.openxmlformats.org/officeDocument/2006/customXml" ds:itemID="{C8B7AC0E-7456-487A-AAE3-9569DEA0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A3ACA-1F26-4DFC-B055-5A653A236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CD7E7-3247-47AA-B261-185C309FE045}">
  <ds:schemaRefs>
    <ds:schemaRef ds:uri="http://schemas.microsoft.com/office/2006/metadata/properties"/>
    <ds:schemaRef ds:uri="http://schemas.microsoft.com/office/infopath/2007/PartnerControls"/>
    <ds:schemaRef ds:uri="240ae112-d6d1-4e23-8a3c-0c7a9bfd82bc"/>
    <ds:schemaRef ds:uri="c5ee36a9-88cf-4679-ab67-90a59ca93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Officers X3</vt:lpstr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Officers X3</dc:title>
  <dc:subject/>
  <dc:creator>Cynthia Msiza</dc:creator>
  <cp:keywords/>
  <dc:description/>
  <cp:lastModifiedBy>Dineo Bopape</cp:lastModifiedBy>
  <cp:revision>2</cp:revision>
  <cp:lastPrinted>2026-01-07T06:44:00Z</cp:lastPrinted>
  <dcterms:created xsi:type="dcterms:W3CDTF">2026-03-11T08:26:00Z</dcterms:created>
  <dcterms:modified xsi:type="dcterms:W3CDTF">2026-03-11T08:26:00Z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